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64F1E">
      <w:pPr>
        <w:spacing w:line="240" w:lineRule="auto"/>
        <w:jc w:val="center"/>
        <w:rPr>
          <w:rFonts w:hint="eastAsia" w:ascii="宋体" w:hAnsi="宋体" w:eastAsia="宋体" w:cs="宋体"/>
          <w:b/>
          <w:bCs/>
          <w:color w:val="auto"/>
          <w:sz w:val="18"/>
          <w:szCs w:val="18"/>
          <w:vertAlign w:val="baseline"/>
          <w:lang w:val="en-US" w:eastAsia="zh-CN"/>
        </w:rPr>
      </w:pPr>
      <w:r>
        <w:rPr>
          <w:rFonts w:hint="default" w:ascii="Times New Roman" w:hAnsi="Times New Roman" w:cs="Times New Roman"/>
          <w:sz w:val="24"/>
          <w:szCs w:val="24"/>
          <w:vertAlign w:val="baseline"/>
          <w:lang w:val="en-US" w:eastAsia="zh-CN"/>
        </w:rPr>
        <w:t>LED高清大屏监测系统</w:t>
      </w:r>
      <w:r>
        <w:rPr>
          <w:rFonts w:hint="eastAsia" w:ascii="Times New Roman" w:hAnsi="Times New Roman" w:cs="Times New Roman"/>
          <w:sz w:val="24"/>
          <w:szCs w:val="24"/>
          <w:vertAlign w:val="baseline"/>
          <w:lang w:val="en-US" w:eastAsia="zh-CN"/>
        </w:rPr>
        <w:t>技术参数</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
        <w:gridCol w:w="1097"/>
        <w:gridCol w:w="5650"/>
        <w:gridCol w:w="666"/>
        <w:gridCol w:w="668"/>
      </w:tblGrid>
      <w:tr w14:paraId="63A0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4A951B6F">
            <w:pPr>
              <w:spacing w:line="240" w:lineRule="auto"/>
              <w:jc w:val="center"/>
              <w:rPr>
                <w:rFonts w:hint="eastAsia" w:ascii="宋体" w:hAnsi="宋体" w:eastAsia="宋体" w:cs="宋体"/>
                <w:b/>
                <w:bCs/>
                <w:color w:val="auto"/>
                <w:sz w:val="18"/>
                <w:szCs w:val="18"/>
                <w:vertAlign w:val="baseline"/>
                <w:lang w:val="en-US" w:eastAsia="zh-CN"/>
              </w:rPr>
            </w:pPr>
            <w:r>
              <w:rPr>
                <w:rFonts w:hint="eastAsia" w:ascii="宋体" w:hAnsi="宋体" w:eastAsia="宋体" w:cs="宋体"/>
                <w:b/>
                <w:bCs/>
                <w:color w:val="auto"/>
                <w:sz w:val="18"/>
                <w:szCs w:val="18"/>
                <w:vertAlign w:val="baseline"/>
                <w:lang w:val="en-US" w:eastAsia="zh-CN"/>
              </w:rPr>
              <w:t>序号</w:t>
            </w:r>
          </w:p>
        </w:tc>
        <w:tc>
          <w:tcPr>
            <w:tcW w:w="644" w:type="pct"/>
            <w:vAlign w:val="center"/>
          </w:tcPr>
          <w:p w14:paraId="6B496E3B">
            <w:pPr>
              <w:spacing w:line="240" w:lineRule="auto"/>
              <w:jc w:val="center"/>
              <w:rPr>
                <w:rFonts w:hint="eastAsia" w:ascii="宋体" w:hAnsi="宋体" w:eastAsia="宋体" w:cs="宋体"/>
                <w:b/>
                <w:bCs/>
                <w:color w:val="auto"/>
                <w:sz w:val="18"/>
                <w:szCs w:val="18"/>
                <w:vertAlign w:val="baseline"/>
                <w:lang w:val="en-US" w:eastAsia="zh-CN"/>
              </w:rPr>
            </w:pPr>
            <w:r>
              <w:rPr>
                <w:rFonts w:hint="eastAsia" w:ascii="宋体" w:hAnsi="宋体" w:eastAsia="宋体" w:cs="宋体"/>
                <w:b/>
                <w:bCs/>
                <w:color w:val="auto"/>
                <w:sz w:val="18"/>
                <w:szCs w:val="18"/>
                <w:vertAlign w:val="baseline"/>
                <w:lang w:val="en-US" w:eastAsia="zh-CN"/>
              </w:rPr>
              <w:t>名称</w:t>
            </w:r>
          </w:p>
        </w:tc>
        <w:tc>
          <w:tcPr>
            <w:tcW w:w="3317" w:type="pct"/>
            <w:vAlign w:val="center"/>
          </w:tcPr>
          <w:p w14:paraId="40974307">
            <w:pPr>
              <w:spacing w:line="240" w:lineRule="auto"/>
              <w:jc w:val="center"/>
              <w:rPr>
                <w:rFonts w:hint="eastAsia" w:ascii="宋体" w:hAnsi="宋体" w:eastAsia="宋体" w:cs="宋体"/>
                <w:b/>
                <w:bCs/>
                <w:color w:val="auto"/>
                <w:sz w:val="18"/>
                <w:szCs w:val="18"/>
                <w:vertAlign w:val="baseline"/>
                <w:lang w:val="en-US" w:eastAsia="zh-CN"/>
              </w:rPr>
            </w:pPr>
            <w:r>
              <w:rPr>
                <w:rFonts w:hint="eastAsia" w:ascii="宋体" w:hAnsi="宋体" w:eastAsia="宋体" w:cs="宋体"/>
                <w:b/>
                <w:bCs/>
                <w:color w:val="auto"/>
                <w:sz w:val="18"/>
                <w:szCs w:val="18"/>
                <w:vertAlign w:val="baseline"/>
                <w:lang w:val="en-US" w:eastAsia="zh-CN"/>
              </w:rPr>
              <w:t>技术参数</w:t>
            </w:r>
          </w:p>
        </w:tc>
        <w:tc>
          <w:tcPr>
            <w:tcW w:w="391" w:type="pct"/>
            <w:vAlign w:val="center"/>
          </w:tcPr>
          <w:p w14:paraId="43BDE128">
            <w:pPr>
              <w:spacing w:line="240" w:lineRule="auto"/>
              <w:jc w:val="center"/>
              <w:rPr>
                <w:rFonts w:hint="eastAsia" w:ascii="宋体" w:hAnsi="宋体" w:eastAsia="宋体" w:cs="宋体"/>
                <w:b/>
                <w:bCs/>
                <w:color w:val="auto"/>
                <w:sz w:val="18"/>
                <w:szCs w:val="18"/>
                <w:vertAlign w:val="baseline"/>
                <w:lang w:val="en-US" w:eastAsia="zh-CN"/>
              </w:rPr>
            </w:pPr>
            <w:r>
              <w:rPr>
                <w:rFonts w:hint="eastAsia" w:ascii="宋体" w:hAnsi="宋体" w:eastAsia="宋体" w:cs="宋体"/>
                <w:b/>
                <w:bCs/>
                <w:color w:val="auto"/>
                <w:sz w:val="18"/>
                <w:szCs w:val="18"/>
                <w:vertAlign w:val="baseline"/>
                <w:lang w:val="en-US" w:eastAsia="zh-CN"/>
              </w:rPr>
              <w:t>数量</w:t>
            </w:r>
          </w:p>
        </w:tc>
        <w:tc>
          <w:tcPr>
            <w:tcW w:w="391" w:type="pct"/>
            <w:vAlign w:val="center"/>
          </w:tcPr>
          <w:p w14:paraId="58C48E48">
            <w:pPr>
              <w:spacing w:line="240" w:lineRule="auto"/>
              <w:jc w:val="center"/>
              <w:rPr>
                <w:rFonts w:hint="eastAsia" w:ascii="宋体" w:hAnsi="宋体" w:eastAsia="宋体" w:cs="宋体"/>
                <w:b/>
                <w:bCs/>
                <w:color w:val="auto"/>
                <w:sz w:val="18"/>
                <w:szCs w:val="18"/>
                <w:vertAlign w:val="baseline"/>
                <w:lang w:val="en-US" w:eastAsia="zh-CN"/>
              </w:rPr>
            </w:pPr>
            <w:r>
              <w:rPr>
                <w:rFonts w:hint="eastAsia" w:ascii="宋体" w:hAnsi="宋体" w:eastAsia="宋体" w:cs="宋体"/>
                <w:b/>
                <w:bCs/>
                <w:color w:val="auto"/>
                <w:sz w:val="18"/>
                <w:szCs w:val="18"/>
                <w:vertAlign w:val="baseline"/>
                <w:lang w:val="en-US" w:eastAsia="zh-CN"/>
              </w:rPr>
              <w:t>单位</w:t>
            </w:r>
          </w:p>
        </w:tc>
      </w:tr>
      <w:tr w14:paraId="0CA8E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254" w:type="pct"/>
            <w:vAlign w:val="center"/>
          </w:tcPr>
          <w:p w14:paraId="6277D5C7">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1</w:t>
            </w:r>
          </w:p>
        </w:tc>
        <w:tc>
          <w:tcPr>
            <w:tcW w:w="644" w:type="pct"/>
            <w:vAlign w:val="center"/>
          </w:tcPr>
          <w:p w14:paraId="03491D33">
            <w:pPr>
              <w:spacing w:line="240" w:lineRule="auto"/>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室内全彩显示屏</w:t>
            </w:r>
          </w:p>
        </w:tc>
        <w:tc>
          <w:tcPr>
            <w:tcW w:w="3317" w:type="pct"/>
            <w:vAlign w:val="center"/>
          </w:tcPr>
          <w:p w14:paraId="03100442">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模组像素点间距：</w:t>
            </w:r>
            <w:r>
              <w:rPr>
                <w:rFonts w:hint="eastAsia" w:ascii="宋体" w:hAnsi="宋体" w:eastAsia="宋体" w:cs="宋体"/>
                <w:color w:val="auto"/>
                <w:sz w:val="18"/>
                <w:szCs w:val="18"/>
                <w:lang w:val="en-US" w:eastAsia="zh-CN"/>
              </w:rPr>
              <w:t>1.5</w:t>
            </w:r>
          </w:p>
          <w:p w14:paraId="2786CE12">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驱动方式：恒流驱动</w:t>
            </w:r>
          </w:p>
          <w:p w14:paraId="20D8AAC8">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供电方式：支持电源均流DC4.2V～DC5V，供电支持电源双输出电压DC2.8V/DC3.8V</w:t>
            </w:r>
          </w:p>
          <w:p w14:paraId="7BD7A784">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整屏平整度：≤0.04mm</w:t>
            </w:r>
          </w:p>
          <w:p w14:paraId="16C0F278">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模组平整度：≤0.03mm</w:t>
            </w:r>
          </w:p>
          <w:p w14:paraId="086B2C72">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拼接缝：≤0.03mm</w:t>
            </w:r>
          </w:p>
          <w:p w14:paraId="67DBFDD6">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白平衡亮度：≥600Cd/m²</w:t>
            </w:r>
          </w:p>
          <w:p w14:paraId="78D53541">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亮度均匀性：≥99%</w:t>
            </w:r>
          </w:p>
          <w:p w14:paraId="36C16120">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色度均匀性：±0.001Cx、Cy内</w:t>
            </w:r>
          </w:p>
          <w:p w14:paraId="1933CCFA">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色温：800-18000K</w:t>
            </w:r>
          </w:p>
          <w:p w14:paraId="288E81D7">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水平视角：≥170°</w:t>
            </w:r>
          </w:p>
          <w:p w14:paraId="7C734291">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垂直视角：≥170°</w:t>
            </w:r>
          </w:p>
          <w:p w14:paraId="2A582950">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对比度：≥8000：1</w:t>
            </w:r>
          </w:p>
          <w:p w14:paraId="136C114E">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刷新率：≥3840Hz</w:t>
            </w:r>
          </w:p>
          <w:p w14:paraId="0112982C">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像素失控率：&lt;1/100000</w:t>
            </w:r>
          </w:p>
          <w:p w14:paraId="67F971C4">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发光点中心偏距：＜0.8%</w:t>
            </w:r>
          </w:p>
          <w:p w14:paraId="7453DF3B">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峰值功耗：≤300W/m²</w:t>
            </w:r>
          </w:p>
          <w:p w14:paraId="5E769534">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平均功耗：≤120W/m²</w:t>
            </w:r>
          </w:p>
          <w:p w14:paraId="7F9E28B1">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最大电流：≤5A</w:t>
            </w:r>
          </w:p>
          <w:p w14:paraId="0C3DBA17">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电流增益：</w:t>
            </w:r>
            <w:r>
              <w:rPr>
                <w:rFonts w:hint="eastAsia" w:ascii="宋体" w:hAnsi="宋体" w:eastAsia="宋体" w:cs="宋体"/>
                <w:color w:val="auto"/>
                <w:sz w:val="18"/>
                <w:szCs w:val="18"/>
                <w:lang w:val="en-US" w:eastAsia="zh-CN"/>
              </w:rPr>
              <w:t>电流增益调节范围：1%～199%，电流增益调节级别≥8位</w:t>
            </w:r>
          </w:p>
          <w:p w14:paraId="167863F3">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具有列下消隐功能、倍频刷新率提升2/4/8倍、低灰偏色改善</w:t>
            </w:r>
          </w:p>
          <w:p w14:paraId="6776C260">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色温为6500K时，100%、75%、50%、25%四档电平白场调节色温误差≤200K</w:t>
            </w:r>
          </w:p>
          <w:p w14:paraId="63F53351">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PCB板材采用玻璃化温度≥150℃的覆铜板；PCB板采用FR-4材质，电路采用多层设计，符合CQC13-471301-2018国家标准"</w:t>
            </w:r>
          </w:p>
          <w:p w14:paraId="399AB08D">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每个灯芯的波长误差值在±1nm以内，每个灯芯的亮度误差在5%以内</w:t>
            </w:r>
          </w:p>
          <w:p w14:paraId="2F03EF0E">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具有H2S宽动态处理技术，解决主控机二次重复播放时的衰减等现象</w:t>
            </w:r>
          </w:p>
          <w:p w14:paraId="706DB296">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屏幕表面光反射率：照度=10Lux/5600K条件下， 显示屏屏幕表面光反射率 （单位面积反射亮度）＜3.0cd/m²</w:t>
            </w:r>
          </w:p>
          <w:p w14:paraId="2C0C1962">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绝缘电阻：在器具输入插座端或者电源引入端子与外壳裸露金属部件</w:t>
            </w:r>
            <w:r>
              <w:rPr>
                <w:rFonts w:hint="eastAsia" w:ascii="宋体" w:hAnsi="宋体" w:eastAsia="宋体" w:cs="宋体"/>
                <w:color w:val="auto"/>
                <w:sz w:val="18"/>
                <w:szCs w:val="18"/>
                <w:lang w:val="en-US" w:eastAsia="zh-CN"/>
              </w:rPr>
              <w:t>之间</w:t>
            </w:r>
            <w:r>
              <w:rPr>
                <w:rFonts w:hint="eastAsia" w:ascii="宋体" w:hAnsi="宋体" w:eastAsia="宋体" w:cs="宋体"/>
                <w:color w:val="auto"/>
                <w:sz w:val="18"/>
                <w:szCs w:val="18"/>
                <w:lang w:eastAsia="zh-CN"/>
              </w:rPr>
              <w:t>的绝缘电阻在正常大气条件下应≥</w:t>
            </w:r>
            <w:r>
              <w:rPr>
                <w:rFonts w:hint="eastAsia" w:ascii="宋体" w:hAnsi="宋体" w:eastAsia="宋体" w:cs="宋体"/>
                <w:color w:val="auto"/>
                <w:sz w:val="18"/>
                <w:szCs w:val="18"/>
                <w:lang w:val="en-US" w:eastAsia="zh-CN"/>
              </w:rPr>
              <w:t>100MΩ，湿热条件下应</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lang w:val="en-US" w:eastAsia="zh-CN"/>
              </w:rPr>
              <w:t>2MΩ</w:t>
            </w:r>
          </w:p>
          <w:p w14:paraId="1EB9172C">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抗拉强度：≥</w:t>
            </w:r>
            <w:r>
              <w:rPr>
                <w:rFonts w:hint="eastAsia" w:ascii="宋体" w:hAnsi="宋体" w:eastAsia="宋体" w:cs="宋体"/>
                <w:color w:val="auto"/>
                <w:sz w:val="18"/>
                <w:szCs w:val="18"/>
                <w:lang w:val="en-US" w:eastAsia="zh-CN"/>
              </w:rPr>
              <w:t>230Mpa</w:t>
            </w:r>
          </w:p>
          <w:p w14:paraId="77798577">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屈服强度：≥</w:t>
            </w:r>
            <w:r>
              <w:rPr>
                <w:rFonts w:hint="eastAsia" w:ascii="宋体" w:hAnsi="宋体" w:eastAsia="宋体" w:cs="宋体"/>
                <w:color w:val="auto"/>
                <w:sz w:val="18"/>
                <w:szCs w:val="18"/>
                <w:lang w:val="en-US" w:eastAsia="zh-CN"/>
              </w:rPr>
              <w:t>170Mpa</w:t>
            </w:r>
          </w:p>
          <w:p w14:paraId="719D43C4">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灰度等级：采用14bit技术</w:t>
            </w:r>
          </w:p>
          <w:p w14:paraId="4D5C549A">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采用EPWM 灰阶控制技术提升低灰视觉效果，100%亮度时，14bit灰度；70%亮度，14bit灰度；50%亮度，14bit灰度；20%亮度，12bit灰度，显示画面无单列或单行像素失控现象；支持0-100%亮度时，8-14bits灰度自定义设置</w:t>
            </w:r>
          </w:p>
          <w:p w14:paraId="6BC9DE5B">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支持鬼影消除、首行暗亮消除、低灰偏色补偿、低灰均匀性、低灰横条纹消除、慢速开启、十字架消除、去坏点、毛毛虫消除、余辉消除、亮度缓慢变亮功能</w:t>
            </w:r>
          </w:p>
          <w:p w14:paraId="533C23A9">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抗电强度：在器具输入插座端与屏正面之间施加试验电压3kv/50Hz，保持1min，不应出现飞弧和击穿现象</w:t>
            </w:r>
          </w:p>
          <w:p w14:paraId="11672834">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LED显示屏图像质量主观评价优、支持4K超清技术、HDR高动态光照渲染技术；符合LED显示屏绿色健康分级认证技术</w:t>
            </w:r>
          </w:p>
          <w:p w14:paraId="7CE639A9">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具有多点测温系统、通讯检测、电源检测、可实现远程监督控制，对可能发生的潜在故障记录日志，并向操作员发出警报信息</w:t>
            </w:r>
          </w:p>
          <w:p w14:paraId="2A313468">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具有单点亮度校正，校正后亮度损失≤8%；具有颜色校正功能，具有灰度校正，支持模组校正，具有校正数据存储及自动回读功能</w:t>
            </w:r>
          </w:p>
          <w:p w14:paraId="42EFB080">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可实现LED单点检测，通讯检测、温度检测、电源检测、温度监控等功能。</w:t>
            </w:r>
          </w:p>
          <w:p w14:paraId="718599E7">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数据备份：数据记忆储存于LED显示模块箱体中，更换箱体设备时，无需重新设定参数</w:t>
            </w:r>
          </w:p>
          <w:p w14:paraId="1B633F45">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产品采用高端芯片，可智能调节正常工作与睡眠状态下的节能效果（动态节能，智能息屏），开启智能节电功能比没有开启节能45%以上</w:t>
            </w:r>
          </w:p>
          <w:p w14:paraId="5A99A1AC">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防护性能：具有防静电、防电磁干扰、防腐蚀、防霉菌、防虫、防潮、抗震动、抗雷击等功能；具有电源过压、过流、断电保护、分布上电措施、防护等级达到IP60</w:t>
            </w:r>
          </w:p>
          <w:p w14:paraId="4AFDEB19">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LED显示屏通过在正常环境下168h不间断运行无故障的老化测试</w:t>
            </w:r>
          </w:p>
          <w:p w14:paraId="7AAAA67D">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使用寿命：≥10</w:t>
            </w:r>
            <w:r>
              <w:rPr>
                <w:rFonts w:hint="eastAsia" w:ascii="宋体" w:hAnsi="宋体" w:eastAsia="宋体" w:cs="宋体"/>
                <w:color w:val="auto"/>
                <w:sz w:val="18"/>
                <w:szCs w:val="18"/>
                <w:lang w:val="en-US" w:eastAsia="zh-CN"/>
              </w:rPr>
              <w:t>0000h</w:t>
            </w:r>
          </w:p>
          <w:p w14:paraId="566DBD77">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平均无故障时间：</w:t>
            </w:r>
            <w:r>
              <w:rPr>
                <w:rFonts w:hint="eastAsia" w:ascii="宋体" w:hAnsi="宋体" w:eastAsia="宋体" w:cs="宋体"/>
                <w:color w:val="auto"/>
                <w:sz w:val="18"/>
                <w:szCs w:val="18"/>
                <w:lang w:val="en-US" w:eastAsia="zh-CN"/>
              </w:rPr>
              <w:t>MTBF平均无故障时间≥20000h；MTTR平均修复时间≤4分钟</w:t>
            </w:r>
          </w:p>
          <w:p w14:paraId="5EC8C0C5">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eastAsia="zh-CN"/>
              </w:rPr>
              <w:t>屏幕温升：</w:t>
            </w:r>
            <w:r>
              <w:rPr>
                <w:rFonts w:hint="eastAsia" w:ascii="宋体" w:hAnsi="宋体" w:eastAsia="宋体" w:cs="宋体"/>
                <w:color w:val="auto"/>
                <w:sz w:val="18"/>
                <w:szCs w:val="18"/>
                <w:lang w:val="en-US" w:eastAsia="zh-CN"/>
              </w:rPr>
              <w:t>最高亮度（白平衡）持续工作4小时，模组表面温升小于20K</w:t>
            </w:r>
          </w:p>
          <w:p w14:paraId="6EDB90C9">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为确保屏体在不同的环境下仍可正常启动工作，要求投标人所投LED显示屏须通过零下40℃和高温80℃的环境运行12h产品能正常工作。</w:t>
            </w:r>
          </w:p>
          <w:p w14:paraId="1938395C">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支持自动GAMMA校正技术，14bit自动调节，通过构造非线性校正曲线和色坐标变换系数矩阵实现了显示效果的不断改善，各项重要指标如色彩还原性、色温调节范围、亮度均匀性、色度均匀性、刷新率、换帧频率等，均符合广电级标准</w:t>
            </w:r>
          </w:p>
          <w:p w14:paraId="37245A66">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光生物安全检测：无危害类：8h（30000s）曝辐中不造成光化学紫外危害（ES），并在16min（1000s）内不造成近紫外危害（EUVA），并在2.8h（10000s）内不造成对视网膜蓝光危害（LB）并在10s内不造成对视网膜热危害（LR），且在1000s内不造成对眼睛的红外辐射危害（EIR）</w:t>
            </w:r>
          </w:p>
          <w:p w14:paraId="0B1D2075">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盐雾：盐雾10级</w:t>
            </w:r>
          </w:p>
          <w:p w14:paraId="4063C17A">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阻燃：PCB板、防火保护外壳及内部其他元器件均达到V-0等级</w:t>
            </w:r>
          </w:p>
          <w:p w14:paraId="64844CAF">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产品通过 GB/T9254-2008《信息技术设备的无线电骚扰限值和测量方法》试验，辐射干扰检测结果符合标准规范要求，符合ClassB限值要求。在30-230MHz频率范围内，峰值限值 dB≤41μV/m；在230-1000MHz频率范围内，峰值限值 dB≤46μV/m</w:t>
            </w:r>
          </w:p>
          <w:p w14:paraId="5E9FF059">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支持一键点屏技术，开机后自动识别系统连接，无需重置系统配置</w:t>
            </w:r>
          </w:p>
          <w:p w14:paraId="65A93273">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抗震实验：显示屏通过YD 5083-2005标准抗震测试，测试结果满足抗震10级</w:t>
            </w:r>
          </w:p>
          <w:p w14:paraId="20F9942C">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防呆设计：模组电源接口采用 4P 接插头，免工具维护,同时有防呆设计</w:t>
            </w:r>
          </w:p>
          <w:p w14:paraId="2FE8551B">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摩尔纹抑制功能：显示屏支持抑制摩尔纹功能，减轻摩尔纹视觉主观效果80%</w:t>
            </w:r>
          </w:p>
          <w:p w14:paraId="60C5019E">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高海拔工作试验：5000米海拔环境下，产品可正常工作</w:t>
            </w:r>
          </w:p>
          <w:p w14:paraId="44CA9505">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表面硬度：具备划痕性能技术,表面硬度≥15H</w:t>
            </w:r>
          </w:p>
          <w:p w14:paraId="689AFA1F">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浪涌 （冲击）抗扰度：LED 显示屏通过符合 GB/T17626.5-2008 标准的浪涌 （冲击）抗扰度试验</w:t>
            </w:r>
          </w:p>
          <w:p w14:paraId="320E635E">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具备防蓝光护眼功能，蓝光辐射能量≤20%。蓝光辐射能量值对人眼视网膜无伤害，LED显示屏蓝光辐亮度≤80W.m-2.sr-1,符合肉眼观看标准。</w:t>
            </w:r>
          </w:p>
          <w:p w14:paraId="5672D65E">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滑石粉密度：2KG/m3网孔径75um使用次数：小于20次，实验时间8H。试验后检查样品无进尘现象。屏幕防尘等级符合IP6X（防尘）</w:t>
            </w:r>
          </w:p>
          <w:p w14:paraId="24361CFD">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产品符合TIRT-GK-JS-55-2020《显示设备显示性能视觉健康认证技术规范第5部分：室内图像显示系统显示屏》技术标准</w:t>
            </w:r>
          </w:p>
          <w:p w14:paraId="5516E068">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要求投标人所投LED显示屏支持DVI、VGA输入、支持HDMI视频输入、支持视频PAL/NTSC制式自适应、支持复合视频信号、支持USB输入、支持IP输入、支持CVBS/DP/HDBASE输入、支持光纤/网络等接口输入。</w:t>
            </w:r>
          </w:p>
          <w:p w14:paraId="222732CE">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所投LED显示屏产品在1×10</w:t>
            </w:r>
            <w:r>
              <w:rPr>
                <w:rFonts w:hint="eastAsia" w:ascii="宋体" w:hAnsi="宋体" w:eastAsia="宋体" w:cs="宋体"/>
                <w:color w:val="auto"/>
                <w:sz w:val="18"/>
                <w:szCs w:val="18"/>
                <w:vertAlign w:val="superscript"/>
                <w:lang w:val="en-US" w:eastAsia="zh-CN"/>
              </w:rPr>
              <w:t>5</w:t>
            </w:r>
            <w:r>
              <w:rPr>
                <w:rFonts w:hint="eastAsia" w:ascii="宋体" w:hAnsi="宋体" w:eastAsia="宋体" w:cs="宋体"/>
                <w:color w:val="auto"/>
                <w:sz w:val="18"/>
                <w:szCs w:val="18"/>
                <w:lang w:val="en-US" w:eastAsia="zh-CN"/>
              </w:rPr>
              <w:t>～1×10</w:t>
            </w:r>
            <w:r>
              <w:rPr>
                <w:rFonts w:hint="eastAsia" w:ascii="宋体" w:hAnsi="宋体" w:eastAsia="宋体" w:cs="宋体"/>
                <w:color w:val="auto"/>
                <w:sz w:val="18"/>
                <w:szCs w:val="18"/>
                <w:vertAlign w:val="superscript"/>
                <w:lang w:val="en-US" w:eastAsia="zh-CN"/>
              </w:rPr>
              <w:t>9</w:t>
            </w:r>
            <w:r>
              <w:rPr>
                <w:rFonts w:hint="eastAsia" w:ascii="宋体" w:hAnsi="宋体" w:eastAsia="宋体" w:cs="宋体"/>
                <w:color w:val="auto"/>
                <w:sz w:val="18"/>
                <w:szCs w:val="18"/>
                <w:lang w:val="en-US" w:eastAsia="zh-CN"/>
              </w:rPr>
              <w:t>Ω技术要求下满足点对点电阻（A面）≤3.02×10</w:t>
            </w:r>
            <w:r>
              <w:rPr>
                <w:rFonts w:hint="eastAsia" w:ascii="宋体" w:hAnsi="宋体" w:eastAsia="宋体" w:cs="宋体"/>
                <w:color w:val="auto"/>
                <w:sz w:val="18"/>
                <w:szCs w:val="18"/>
                <w:vertAlign w:val="superscript"/>
                <w:lang w:val="en-US" w:eastAsia="zh-CN"/>
              </w:rPr>
              <w:t>8</w:t>
            </w:r>
            <w:r>
              <w:rPr>
                <w:rFonts w:hint="eastAsia" w:ascii="宋体" w:hAnsi="宋体" w:eastAsia="宋体" w:cs="宋体"/>
                <w:color w:val="auto"/>
                <w:sz w:val="18"/>
                <w:szCs w:val="18"/>
                <w:lang w:val="en-US" w:eastAsia="zh-CN"/>
              </w:rPr>
              <w:t>；点对点电阻（B面）≤2.21×10</w:t>
            </w:r>
            <w:r>
              <w:rPr>
                <w:rFonts w:hint="eastAsia" w:ascii="宋体" w:hAnsi="宋体" w:eastAsia="宋体" w:cs="宋体"/>
                <w:color w:val="auto"/>
                <w:sz w:val="18"/>
                <w:szCs w:val="18"/>
                <w:vertAlign w:val="superscript"/>
                <w:lang w:val="en-US" w:eastAsia="zh-CN"/>
              </w:rPr>
              <w:t>8</w:t>
            </w:r>
            <w:r>
              <w:rPr>
                <w:rFonts w:hint="eastAsia" w:ascii="宋体" w:hAnsi="宋体" w:eastAsia="宋体" w:cs="宋体"/>
                <w:color w:val="auto"/>
                <w:sz w:val="18"/>
                <w:szCs w:val="18"/>
                <w:lang w:val="en-US" w:eastAsia="zh-CN"/>
              </w:rPr>
              <w:t>；并且在（±1000-±100V）≤2S的技术要求下满足静电电压衰减期值：（+V：≤0.26S，-V：≤0.31S）</w:t>
            </w:r>
          </w:p>
          <w:p w14:paraId="1933485B">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所投LED显示屏的灯管耐焊耐热：灯珠引脚无氧化,焊接正常,灯珠胶体正常,点亮正常；灯管抗静电(ESD)测试：HBM模式:ESD&gt;2000V,灯珠点亮无异常；灯管红墨水试验：纯红墨水常温浸泡24h,无渗透,灯管气密性良好。</w:t>
            </w:r>
          </w:p>
          <w:p w14:paraId="214C7C58">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为不影响屏体周边人员的健康，要求投标人所投LED显示屏在正常工作中，显示屏1m范围内，前后左右4个位置噪音不大于1.4dB；所投LED显示屏观看舒适度需符合：“人眼视觉舒适度(VICO)1级，基本无疲劳感。</w:t>
            </w:r>
          </w:p>
          <w:p w14:paraId="4E1CB213">
            <w:pPr>
              <w:numPr>
                <w:ilvl w:val="0"/>
                <w:numId w:val="0"/>
              </w:numPr>
              <w:spacing w:line="240" w:lineRule="auto"/>
              <w:ind w:left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以上技术参数需提供由权威检测机构出具带有“CNAS”、“CMA”、“ilac-MRA”标志的检测报告复印件。</w:t>
            </w:r>
          </w:p>
          <w:p w14:paraId="2E2DDF20">
            <w:pPr>
              <w:numPr>
                <w:ilvl w:val="0"/>
                <w:numId w:val="1"/>
              </w:numPr>
              <w:tabs>
                <w:tab w:val="left" w:pos="0"/>
              </w:tabs>
              <w:spacing w:line="240" w:lineRule="auto"/>
              <w:ind w:left="0" w:leftChars="0" w:firstLine="0" w:firstLineChars="0"/>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所投产品具有CCC、CE、ROHS、FCC认证证书（提供相关证书复印件）</w:t>
            </w:r>
          </w:p>
          <w:p w14:paraId="708BC137">
            <w:pPr>
              <w:spacing w:line="240" w:lineRule="auto"/>
              <w:rPr>
                <w:rFonts w:hint="eastAsia" w:ascii="宋体" w:hAnsi="宋体" w:eastAsia="宋体" w:cs="宋体"/>
                <w:color w:val="auto"/>
                <w:sz w:val="18"/>
                <w:szCs w:val="18"/>
                <w:highlight w:val="none"/>
                <w:vertAlign w:val="baseline"/>
              </w:rPr>
            </w:pPr>
            <w:r>
              <w:rPr>
                <w:rFonts w:hint="eastAsia" w:ascii="宋体" w:hAnsi="宋体" w:eastAsia="宋体" w:cs="宋体"/>
                <w:b w:val="0"/>
                <w:color w:val="auto"/>
                <w:kern w:val="2"/>
                <w:sz w:val="18"/>
                <w:szCs w:val="18"/>
                <w:lang w:val="en-US" w:eastAsia="zh-CN" w:bidi="ar-SA"/>
              </w:rPr>
              <w:t>66.符合光生物安全检测标准，无视网膜蓝光危害，并提供具有 TUV 标识的低蓝光认证证书</w:t>
            </w:r>
          </w:p>
        </w:tc>
        <w:tc>
          <w:tcPr>
            <w:tcW w:w="391" w:type="pct"/>
            <w:vAlign w:val="center"/>
          </w:tcPr>
          <w:p w14:paraId="2060ED0F">
            <w:pPr>
              <w:spacing w:line="240" w:lineRule="auto"/>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 xml:space="preserve">10.75 </w:t>
            </w:r>
          </w:p>
        </w:tc>
        <w:tc>
          <w:tcPr>
            <w:tcW w:w="391" w:type="pct"/>
            <w:vAlign w:val="center"/>
          </w:tcPr>
          <w:p w14:paraId="755B1961">
            <w:pPr>
              <w:spacing w:line="240" w:lineRule="auto"/>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w:t>
            </w:r>
          </w:p>
        </w:tc>
      </w:tr>
      <w:tr w14:paraId="7A6A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52294551">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2</w:t>
            </w:r>
          </w:p>
        </w:tc>
        <w:tc>
          <w:tcPr>
            <w:tcW w:w="644" w:type="pct"/>
            <w:vAlign w:val="center"/>
          </w:tcPr>
          <w:p w14:paraId="36AC3DF9">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供电电源</w:t>
            </w:r>
          </w:p>
        </w:tc>
        <w:tc>
          <w:tcPr>
            <w:tcW w:w="3317" w:type="pct"/>
            <w:vAlign w:val="center"/>
          </w:tcPr>
          <w:p w14:paraId="1FF25481">
            <w:pPr>
              <w:pStyle w:val="8"/>
              <w:spacing w:line="240" w:lineRule="auto"/>
              <w:jc w:val="left"/>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1、防伪功能</w:t>
            </w:r>
            <w:r>
              <w:rPr>
                <w:rFonts w:hint="eastAsia" w:ascii="宋体" w:hAnsi="宋体" w:eastAsia="宋体" w:cs="宋体"/>
                <w:bCs/>
                <w:color w:val="auto"/>
                <w:sz w:val="18"/>
                <w:szCs w:val="18"/>
                <w:highlight w:val="none"/>
              </w:rPr>
              <w:tab/>
            </w:r>
            <w:r>
              <w:rPr>
                <w:rFonts w:hint="eastAsia" w:ascii="宋体" w:hAnsi="宋体" w:eastAsia="宋体" w:cs="宋体"/>
                <w:bCs/>
                <w:color w:val="auto"/>
                <w:sz w:val="18"/>
                <w:szCs w:val="18"/>
                <w:highlight w:val="none"/>
              </w:rPr>
              <w:t>具备logo、产品型号</w:t>
            </w:r>
          </w:p>
          <w:p w14:paraId="3768676A">
            <w:pPr>
              <w:pStyle w:val="8"/>
              <w:spacing w:line="240" w:lineRule="auto"/>
              <w:jc w:val="left"/>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2、外形结构</w:t>
            </w:r>
            <w:r>
              <w:rPr>
                <w:rFonts w:hint="eastAsia" w:ascii="宋体" w:hAnsi="宋体" w:eastAsia="宋体" w:cs="宋体"/>
                <w:bCs/>
                <w:color w:val="auto"/>
                <w:sz w:val="18"/>
                <w:szCs w:val="18"/>
                <w:highlight w:val="none"/>
              </w:rPr>
              <w:tab/>
            </w:r>
            <w:r>
              <w:rPr>
                <w:rFonts w:hint="eastAsia" w:ascii="宋体" w:hAnsi="宋体" w:eastAsia="宋体" w:cs="宋体"/>
                <w:bCs/>
                <w:color w:val="auto"/>
                <w:sz w:val="18"/>
                <w:szCs w:val="18"/>
                <w:highlight w:val="none"/>
              </w:rPr>
              <w:t>楞缘及拐角均充分倒圆和磨光</w:t>
            </w:r>
          </w:p>
          <w:p w14:paraId="5624E684">
            <w:pPr>
              <w:pStyle w:val="8"/>
              <w:spacing w:line="240" w:lineRule="auto"/>
              <w:jc w:val="left"/>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3、丝印标示</w:t>
            </w:r>
            <w:r>
              <w:rPr>
                <w:rFonts w:hint="eastAsia" w:ascii="宋体" w:hAnsi="宋体" w:eastAsia="宋体" w:cs="宋体"/>
                <w:bCs/>
                <w:color w:val="auto"/>
                <w:sz w:val="18"/>
                <w:szCs w:val="18"/>
                <w:highlight w:val="none"/>
              </w:rPr>
              <w:tab/>
            </w:r>
            <w:r>
              <w:rPr>
                <w:rFonts w:hint="eastAsia" w:ascii="宋体" w:hAnsi="宋体" w:eastAsia="宋体" w:cs="宋体"/>
                <w:bCs/>
                <w:color w:val="auto"/>
                <w:sz w:val="18"/>
                <w:szCs w:val="18"/>
                <w:highlight w:val="none"/>
              </w:rPr>
              <w:t>丝印标示清晰明显，有节能、危险警告、输入输出电压电流、功率、极性指示等标示</w:t>
            </w:r>
          </w:p>
          <w:p w14:paraId="535C9C03">
            <w:pPr>
              <w:pStyle w:val="8"/>
              <w:spacing w:line="240" w:lineRule="auto"/>
              <w:jc w:val="left"/>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4、泄漏电流</w:t>
            </w:r>
            <w:r>
              <w:rPr>
                <w:rFonts w:hint="eastAsia" w:ascii="宋体" w:hAnsi="宋体" w:eastAsia="宋体" w:cs="宋体"/>
                <w:bCs/>
                <w:color w:val="auto"/>
                <w:sz w:val="18"/>
                <w:szCs w:val="18"/>
                <w:highlight w:val="none"/>
              </w:rPr>
              <w:tab/>
            </w:r>
            <w:r>
              <w:rPr>
                <w:rFonts w:hint="eastAsia" w:ascii="宋体" w:hAnsi="宋体" w:eastAsia="宋体" w:cs="宋体"/>
                <w:bCs/>
                <w:color w:val="auto"/>
                <w:sz w:val="18"/>
                <w:szCs w:val="18"/>
                <w:highlight w:val="none"/>
              </w:rPr>
              <w:t>泄漏电流≤0.25mA</w:t>
            </w:r>
          </w:p>
          <w:p w14:paraId="07C8CF3F">
            <w:pPr>
              <w:pStyle w:val="8"/>
              <w:spacing w:line="240" w:lineRule="auto"/>
              <w:jc w:val="left"/>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5、接地阻抗</w:t>
            </w:r>
            <w:r>
              <w:rPr>
                <w:rFonts w:hint="eastAsia" w:ascii="宋体" w:hAnsi="宋体" w:eastAsia="宋体" w:cs="宋体"/>
                <w:bCs/>
                <w:color w:val="auto"/>
                <w:sz w:val="18"/>
                <w:szCs w:val="18"/>
                <w:highlight w:val="none"/>
              </w:rPr>
              <w:tab/>
            </w:r>
            <w:r>
              <w:rPr>
                <w:rFonts w:hint="eastAsia" w:ascii="宋体" w:hAnsi="宋体" w:eastAsia="宋体" w:cs="宋体"/>
                <w:bCs/>
                <w:color w:val="auto"/>
                <w:sz w:val="18"/>
                <w:szCs w:val="18"/>
                <w:highlight w:val="none"/>
              </w:rPr>
              <w:t>外壳与大地阻抗≤10mΩ</w:t>
            </w:r>
          </w:p>
          <w:p w14:paraId="78CD9402">
            <w:pPr>
              <w:pStyle w:val="8"/>
              <w:spacing w:line="240" w:lineRule="auto"/>
              <w:jc w:val="left"/>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6、保护功能</w:t>
            </w:r>
            <w:r>
              <w:rPr>
                <w:rFonts w:hint="eastAsia" w:ascii="宋体" w:hAnsi="宋体" w:eastAsia="宋体" w:cs="宋体"/>
                <w:bCs/>
                <w:color w:val="auto"/>
                <w:sz w:val="18"/>
                <w:szCs w:val="18"/>
                <w:highlight w:val="none"/>
              </w:rPr>
              <w:tab/>
            </w:r>
            <w:r>
              <w:rPr>
                <w:rFonts w:hint="eastAsia" w:ascii="宋体" w:hAnsi="宋体" w:eastAsia="宋体" w:cs="宋体"/>
                <w:bCs/>
                <w:color w:val="auto"/>
                <w:sz w:val="18"/>
                <w:szCs w:val="18"/>
                <w:highlight w:val="none"/>
              </w:rPr>
              <w:t>输入AC端自带保护盖，且具备过流、断路、短路、过压、欠压、防雷等保护功能</w:t>
            </w:r>
          </w:p>
          <w:p w14:paraId="57C60FE3">
            <w:pPr>
              <w:pStyle w:val="8"/>
              <w:spacing w:line="240" w:lineRule="auto"/>
              <w:jc w:val="left"/>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7、抗电强度</w:t>
            </w:r>
            <w:r>
              <w:rPr>
                <w:rFonts w:hint="eastAsia" w:ascii="宋体" w:hAnsi="宋体" w:eastAsia="宋体" w:cs="宋体"/>
                <w:bCs/>
                <w:color w:val="auto"/>
                <w:sz w:val="18"/>
                <w:szCs w:val="18"/>
                <w:highlight w:val="none"/>
              </w:rPr>
              <w:tab/>
            </w:r>
            <w:r>
              <w:rPr>
                <w:rFonts w:hint="eastAsia" w:ascii="宋体" w:hAnsi="宋体" w:eastAsia="宋体" w:cs="宋体"/>
                <w:bCs/>
                <w:color w:val="auto"/>
                <w:sz w:val="18"/>
                <w:szCs w:val="18"/>
                <w:highlight w:val="none"/>
              </w:rPr>
              <w:t>输入对输出，AC2000V/1min；输入对地，AC1500V/1min；输出对地，AC500V/1min</w:t>
            </w:r>
          </w:p>
          <w:p w14:paraId="61F22195">
            <w:pPr>
              <w:pStyle w:val="8"/>
              <w:spacing w:line="240" w:lineRule="auto"/>
              <w:jc w:val="left"/>
              <w:rPr>
                <w:rFonts w:hint="eastAsia" w:ascii="宋体" w:hAnsi="宋体" w:eastAsia="宋体" w:cs="宋体"/>
                <w:color w:val="auto"/>
                <w:sz w:val="18"/>
                <w:szCs w:val="18"/>
                <w:lang w:val="en-US" w:eastAsia="zh-CN"/>
              </w:rPr>
            </w:pPr>
            <w:r>
              <w:rPr>
                <w:rFonts w:hint="eastAsia" w:ascii="宋体" w:hAnsi="宋体" w:eastAsia="宋体" w:cs="宋体"/>
                <w:bCs/>
                <w:color w:val="auto"/>
                <w:sz w:val="18"/>
                <w:szCs w:val="18"/>
                <w:highlight w:val="none"/>
              </w:rPr>
              <w:t>8、平均无故障时间</w:t>
            </w:r>
            <w:r>
              <w:rPr>
                <w:rFonts w:hint="eastAsia" w:ascii="宋体" w:hAnsi="宋体" w:eastAsia="宋体" w:cs="宋体"/>
                <w:bCs/>
                <w:color w:val="auto"/>
                <w:sz w:val="18"/>
                <w:szCs w:val="18"/>
                <w:highlight w:val="none"/>
              </w:rPr>
              <w:tab/>
            </w:r>
            <w:r>
              <w:rPr>
                <w:rFonts w:hint="eastAsia" w:ascii="宋体" w:hAnsi="宋体" w:eastAsia="宋体" w:cs="宋体"/>
                <w:bCs/>
                <w:color w:val="auto"/>
                <w:sz w:val="18"/>
                <w:szCs w:val="18"/>
                <w:highlight w:val="none"/>
              </w:rPr>
              <w:t>MTBF≥10000H</w:t>
            </w:r>
          </w:p>
        </w:tc>
        <w:tc>
          <w:tcPr>
            <w:tcW w:w="391" w:type="pct"/>
            <w:vAlign w:val="center"/>
          </w:tcPr>
          <w:p w14:paraId="6522CAEB">
            <w:pPr>
              <w:pStyle w:val="8"/>
              <w:spacing w:line="240" w:lineRule="auto"/>
              <w:jc w:val="left"/>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35</w:t>
            </w:r>
          </w:p>
        </w:tc>
        <w:tc>
          <w:tcPr>
            <w:tcW w:w="391" w:type="pct"/>
            <w:vAlign w:val="center"/>
          </w:tcPr>
          <w:p w14:paraId="01679CCA">
            <w:pPr>
              <w:pStyle w:val="8"/>
              <w:spacing w:line="240" w:lineRule="auto"/>
              <w:jc w:val="left"/>
              <w:rPr>
                <w:rFonts w:hint="eastAsia" w:ascii="宋体" w:hAnsi="宋体" w:eastAsia="宋体" w:cs="宋体"/>
                <w:bCs/>
                <w:color w:val="auto"/>
                <w:sz w:val="18"/>
                <w:szCs w:val="18"/>
                <w:highlight w:val="none"/>
                <w:lang w:eastAsia="zh-CN"/>
              </w:rPr>
            </w:pPr>
            <w:r>
              <w:rPr>
                <w:rFonts w:hint="eastAsia" w:ascii="宋体" w:hAnsi="宋体" w:eastAsia="宋体" w:cs="宋体"/>
                <w:bCs/>
                <w:color w:val="auto"/>
                <w:sz w:val="18"/>
                <w:szCs w:val="18"/>
                <w:highlight w:val="none"/>
                <w:lang w:eastAsia="zh-CN"/>
              </w:rPr>
              <w:t>台</w:t>
            </w:r>
          </w:p>
        </w:tc>
      </w:tr>
      <w:tr w14:paraId="1AAA7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EA19135">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3</w:t>
            </w:r>
          </w:p>
        </w:tc>
        <w:tc>
          <w:tcPr>
            <w:tcW w:w="644" w:type="pct"/>
            <w:vAlign w:val="center"/>
          </w:tcPr>
          <w:p w14:paraId="00EFFD22">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控制接收卡</w:t>
            </w:r>
          </w:p>
        </w:tc>
        <w:tc>
          <w:tcPr>
            <w:tcW w:w="3317" w:type="pct"/>
            <w:vAlign w:val="center"/>
          </w:tcPr>
          <w:p w14:paraId="176E685A">
            <w:pPr>
              <w:spacing w:line="240"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rPr>
              <w:t>1.集成8个HUB75，无需再配转接板</w:t>
            </w:r>
          </w:p>
          <w:p w14:paraId="3F7B77CC">
            <w:pPr>
              <w:spacing w:line="240"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rPr>
              <w:t>2.单卡最大带载128×1024像素，最多支持16组并行数据</w:t>
            </w:r>
          </w:p>
          <w:p w14:paraId="3551A527">
            <w:pPr>
              <w:spacing w:line="240"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rPr>
              <w:t>3.支持8bit色深视频源输入输出，单色灰阶为256，可搭配出16777216种混合色彩。</w:t>
            </w:r>
          </w:p>
          <w:p w14:paraId="682AB719">
            <w:pPr>
              <w:spacing w:line="240"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rPr>
              <w:t>4.支持自适应帧率技术，不仅支持23.98/24/29.97/30/50/59.94/60Hz常规及非整数帧率，还可输出显示120/240Hz高帧率画面，大幅提升画面流畅度、减少拖影。</w:t>
            </w:r>
          </w:p>
          <w:p w14:paraId="28EED413">
            <w:pPr>
              <w:spacing w:line="240"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rPr>
              <w:t>5.支持色温调节，提供调整色温，即饱和度调节，增强画面表现力</w:t>
            </w:r>
          </w:p>
          <w:p w14:paraId="6A969AEC">
            <w:pPr>
              <w:spacing w:line="240"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rPr>
              <w:t>6.支持低亮高灰</w:t>
            </w:r>
          </w:p>
          <w:p w14:paraId="0E0733FA">
            <w:pPr>
              <w:spacing w:line="240"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rPr>
              <w:t>7.支持亮色度逐点校正，能有效消除灯点色差，保证整屏的颜色亮度的均匀性和一致性，提升整体显示效果</w:t>
            </w:r>
          </w:p>
          <w:p w14:paraId="43DD10AA">
            <w:pPr>
              <w:spacing w:line="240"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rPr>
              <w:t>8.支持箱体标定和快速标序</w:t>
            </w:r>
          </w:p>
          <w:p w14:paraId="2F3E5A25">
            <w:pPr>
              <w:spacing w:line="240" w:lineRule="auto"/>
              <w:jc w:val="left"/>
              <w:rPr>
                <w:rFonts w:hint="eastAsia" w:ascii="宋体" w:hAnsi="宋体" w:eastAsia="宋体" w:cs="宋体"/>
                <w:color w:val="auto"/>
                <w:sz w:val="18"/>
                <w:szCs w:val="18"/>
                <w:vertAlign w:val="baseline"/>
              </w:rPr>
            </w:pPr>
            <w:r>
              <w:rPr>
                <w:rFonts w:hint="eastAsia" w:ascii="宋体" w:hAnsi="宋体" w:eastAsia="宋体" w:cs="宋体"/>
                <w:color w:val="auto"/>
                <w:sz w:val="18"/>
                <w:szCs w:val="18"/>
              </w:rPr>
              <w:t>9.支持画面旋转，单个箱体画面以90°/180°/270°角度进行旋转，配合部分主控可实现单箱体画面任意角度旋转显示</w:t>
            </w:r>
          </w:p>
        </w:tc>
        <w:tc>
          <w:tcPr>
            <w:tcW w:w="391" w:type="pct"/>
            <w:vAlign w:val="center"/>
          </w:tcPr>
          <w:p w14:paraId="23F96FE2">
            <w:pPr>
              <w:spacing w:line="240" w:lineRule="auto"/>
              <w:jc w:val="left"/>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28</w:t>
            </w:r>
          </w:p>
        </w:tc>
        <w:tc>
          <w:tcPr>
            <w:tcW w:w="391" w:type="pct"/>
            <w:vAlign w:val="center"/>
          </w:tcPr>
          <w:p w14:paraId="469667FD">
            <w:pPr>
              <w:spacing w:line="240" w:lineRule="auto"/>
              <w:jc w:val="left"/>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张</w:t>
            </w:r>
          </w:p>
        </w:tc>
      </w:tr>
      <w:tr w14:paraId="5325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4935D148">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4</w:t>
            </w:r>
          </w:p>
        </w:tc>
        <w:tc>
          <w:tcPr>
            <w:tcW w:w="644" w:type="pct"/>
            <w:vAlign w:val="center"/>
          </w:tcPr>
          <w:p w14:paraId="099264B3">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超级发送处理器</w:t>
            </w:r>
          </w:p>
        </w:tc>
        <w:tc>
          <w:tcPr>
            <w:tcW w:w="3317" w:type="pct"/>
            <w:vAlign w:val="center"/>
          </w:tcPr>
          <w:p w14:paraId="762ACC17">
            <w:pPr>
              <w:spacing w:after="0" w:line="240" w:lineRule="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rPr>
              <w:t>1.最大1920X1200@60Hz 输入分辨率</w:t>
            </w:r>
          </w:p>
          <w:p w14:paraId="28634DAE">
            <w:pPr>
              <w:spacing w:after="0" w:line="240" w:lineRule="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rPr>
              <w:t>2.最大带载7</w:t>
            </w:r>
            <w:r>
              <w:rPr>
                <w:rFonts w:hint="eastAsia" w:ascii="宋体" w:hAnsi="宋体" w:eastAsia="宋体" w:cs="宋体"/>
                <w:color w:val="auto"/>
                <w:sz w:val="18"/>
                <w:szCs w:val="18"/>
                <w:vertAlign w:val="baseline"/>
                <w:lang w:val="en-US" w:eastAsia="zh-CN"/>
              </w:rPr>
              <w:t>2</w:t>
            </w:r>
            <w:r>
              <w:rPr>
                <w:rFonts w:hint="eastAsia" w:ascii="宋体" w:hAnsi="宋体" w:eastAsia="宋体" w:cs="宋体"/>
                <w:color w:val="auto"/>
                <w:sz w:val="18"/>
                <w:szCs w:val="18"/>
                <w:vertAlign w:val="baseline"/>
              </w:rPr>
              <w:t>0万像素，12路千兆网口输出</w:t>
            </w:r>
          </w:p>
          <w:p w14:paraId="597C1FCC">
            <w:pPr>
              <w:spacing w:after="0" w:line="240" w:lineRule="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rPr>
              <w:t>3.最宽8192像素点或最高4096像素点</w:t>
            </w:r>
          </w:p>
          <w:p w14:paraId="3F909312">
            <w:pPr>
              <w:spacing w:after="0" w:line="240" w:lineRule="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rPr>
              <w:t>4.支持4路信号输入:3xHDMI1.4，1xDVI</w:t>
            </w:r>
          </w:p>
          <w:p w14:paraId="35B16B24">
            <w:pPr>
              <w:spacing w:after="0" w:line="240" w:lineRule="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rPr>
              <w:t>5.支持单机或双机冗余备份</w:t>
            </w:r>
          </w:p>
          <w:p w14:paraId="30CA7FB6">
            <w:pPr>
              <w:spacing w:after="0" w:line="240" w:lineRule="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rPr>
              <w:t>6.支持1路独立音频输入，1路独立音频输出</w:t>
            </w:r>
          </w:p>
          <w:p w14:paraId="53899D4D">
            <w:pPr>
              <w:spacing w:after="0" w:line="240" w:lineRule="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rPr>
              <w:t>7.支持3画面显示，位置、大小可自由调节</w:t>
            </w:r>
          </w:p>
          <w:p w14:paraId="27E2590C">
            <w:pPr>
              <w:spacing w:after="0" w:line="240" w:lineRule="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rPr>
              <w:t>8.支持视频信号任意切换，裁剪，拼接，缩放</w:t>
            </w:r>
          </w:p>
          <w:p w14:paraId="6F2F8EB2">
            <w:pPr>
              <w:spacing w:after="0" w:line="240" w:lineRule="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rPr>
              <w:t>9.支持HDCP高带宽数字内容保护技术</w:t>
            </w:r>
          </w:p>
          <w:p w14:paraId="34BA2869">
            <w:pPr>
              <w:spacing w:after="0" w:line="240" w:lineRule="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rPr>
              <w:t>10.支持亮度和色温调节</w:t>
            </w:r>
          </w:p>
          <w:p w14:paraId="390BD858">
            <w:pPr>
              <w:spacing w:after="0" w:line="240" w:lineRule="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rPr>
              <w:t>11.支持低亮高灰，能有效地保持低亮下灰阶的完整显示</w:t>
            </w:r>
          </w:p>
        </w:tc>
        <w:tc>
          <w:tcPr>
            <w:tcW w:w="391" w:type="pct"/>
            <w:vAlign w:val="center"/>
          </w:tcPr>
          <w:p w14:paraId="76F49D84">
            <w:pPr>
              <w:spacing w:after="0" w:line="240" w:lineRule="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1</w:t>
            </w:r>
          </w:p>
        </w:tc>
        <w:tc>
          <w:tcPr>
            <w:tcW w:w="391" w:type="pct"/>
            <w:vAlign w:val="center"/>
          </w:tcPr>
          <w:p w14:paraId="77E0E840">
            <w:pPr>
              <w:bidi w:val="0"/>
              <w:jc w:val="left"/>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台</w:t>
            </w:r>
          </w:p>
        </w:tc>
      </w:tr>
      <w:tr w14:paraId="4BE5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EEC5261">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5</w:t>
            </w:r>
          </w:p>
        </w:tc>
        <w:tc>
          <w:tcPr>
            <w:tcW w:w="644" w:type="pct"/>
            <w:vAlign w:val="center"/>
          </w:tcPr>
          <w:p w14:paraId="5DA1EA61">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配电柜</w:t>
            </w:r>
          </w:p>
        </w:tc>
        <w:tc>
          <w:tcPr>
            <w:tcW w:w="3317" w:type="pct"/>
            <w:vAlign w:val="center"/>
          </w:tcPr>
          <w:p w14:paraId="0149FEA8">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1:精巧轻薄 V0级阻燃绝缘材料</w:t>
            </w:r>
          </w:p>
          <w:p w14:paraId="19A993A0">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2: 高清中文菜单显示屏</w:t>
            </w:r>
          </w:p>
          <w:p w14:paraId="5AB78D3C">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3:手动按键+远程遥控</w:t>
            </w:r>
          </w:p>
          <w:p w14:paraId="3C26778D">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4</w:t>
            </w:r>
            <w:r>
              <w:rPr>
                <w:rFonts w:hint="eastAsia" w:ascii="宋体" w:hAnsi="宋体" w:eastAsia="宋体" w:cs="宋体"/>
                <w:color w:val="auto"/>
                <w:sz w:val="18"/>
                <w:szCs w:val="18"/>
              </w:rPr>
              <w:t>：支持分布式阶级上电/断电功能</w:t>
            </w:r>
          </w:p>
          <w:p w14:paraId="4C9FD2A7">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5</w:t>
            </w:r>
            <w:r>
              <w:rPr>
                <w:rFonts w:hint="eastAsia" w:ascii="宋体" w:hAnsi="宋体" w:eastAsia="宋体" w:cs="宋体"/>
                <w:color w:val="auto"/>
                <w:sz w:val="18"/>
                <w:szCs w:val="18"/>
              </w:rPr>
              <w:t>：支持高温断电，水浸断电，烟雾断电，过流，短路断电</w:t>
            </w:r>
          </w:p>
          <w:p w14:paraId="6A3666C0">
            <w:pPr>
              <w:spacing w:line="360" w:lineRule="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w:t>
            </w:r>
            <w:r>
              <w:rPr>
                <w:rFonts w:hint="eastAsia" w:ascii="宋体" w:hAnsi="宋体" w:eastAsia="宋体" w:cs="宋体"/>
                <w:color w:val="auto"/>
                <w:sz w:val="18"/>
                <w:szCs w:val="18"/>
              </w:rPr>
              <w:t>：支持遥控控制</w:t>
            </w:r>
          </w:p>
        </w:tc>
        <w:tc>
          <w:tcPr>
            <w:tcW w:w="391" w:type="pct"/>
            <w:vAlign w:val="center"/>
          </w:tcPr>
          <w:p w14:paraId="78CCBDF0">
            <w:pPr>
              <w:pStyle w:val="2"/>
              <w:jc w:val="both"/>
              <w:rPr>
                <w:rFonts w:hint="eastAsia" w:ascii="宋体" w:hAnsi="宋体" w:eastAsia="宋体" w:cs="宋体"/>
                <w:b w:val="0"/>
                <w:color w:val="auto"/>
                <w:kern w:val="0"/>
                <w:sz w:val="18"/>
                <w:szCs w:val="18"/>
                <w:lang w:val="en-US" w:eastAsia="zh-CN" w:bidi="ar-SA"/>
              </w:rPr>
            </w:pPr>
            <w:r>
              <w:rPr>
                <w:rFonts w:hint="eastAsia" w:ascii="宋体" w:hAnsi="宋体" w:eastAsia="宋体" w:cs="宋体"/>
                <w:b w:val="0"/>
                <w:color w:val="auto"/>
                <w:kern w:val="0"/>
                <w:sz w:val="18"/>
                <w:szCs w:val="18"/>
                <w:lang w:val="en-US" w:eastAsia="zh-CN" w:bidi="ar-SA"/>
              </w:rPr>
              <w:t>1</w:t>
            </w:r>
          </w:p>
        </w:tc>
        <w:tc>
          <w:tcPr>
            <w:tcW w:w="391" w:type="pct"/>
            <w:vAlign w:val="center"/>
          </w:tcPr>
          <w:p w14:paraId="6150E487">
            <w:pPr>
              <w:pStyle w:val="2"/>
              <w:jc w:val="both"/>
              <w:rPr>
                <w:rFonts w:hint="eastAsia" w:ascii="宋体" w:hAnsi="宋体" w:eastAsia="宋体" w:cs="宋体"/>
                <w:b w:val="0"/>
                <w:color w:val="auto"/>
                <w:kern w:val="0"/>
                <w:sz w:val="18"/>
                <w:szCs w:val="18"/>
                <w:lang w:val="en-US" w:eastAsia="zh-CN" w:bidi="ar-SA"/>
              </w:rPr>
            </w:pPr>
            <w:r>
              <w:rPr>
                <w:rFonts w:hint="eastAsia" w:ascii="宋体" w:hAnsi="宋体" w:eastAsia="宋体" w:cs="宋体"/>
                <w:b w:val="0"/>
                <w:color w:val="auto"/>
                <w:kern w:val="0"/>
                <w:sz w:val="18"/>
                <w:szCs w:val="18"/>
                <w:lang w:val="en-US" w:eastAsia="zh-CN" w:bidi="ar-SA"/>
              </w:rPr>
              <w:t>台</w:t>
            </w:r>
          </w:p>
        </w:tc>
      </w:tr>
      <w:tr w14:paraId="2962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254" w:type="pct"/>
            <w:vAlign w:val="center"/>
          </w:tcPr>
          <w:p w14:paraId="24A5DB23">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6</w:t>
            </w:r>
          </w:p>
        </w:tc>
        <w:tc>
          <w:tcPr>
            <w:tcW w:w="644" w:type="pct"/>
            <w:vAlign w:val="center"/>
          </w:tcPr>
          <w:p w14:paraId="0A433C08">
            <w:pPr>
              <w:spacing w:line="240" w:lineRule="auto"/>
              <w:jc w:val="center"/>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rPr>
              <w:t>钢结构框架</w:t>
            </w:r>
          </w:p>
        </w:tc>
        <w:tc>
          <w:tcPr>
            <w:tcW w:w="3317" w:type="pct"/>
            <w:vAlign w:val="center"/>
          </w:tcPr>
          <w:p w14:paraId="057CC4DE">
            <w:pPr>
              <w:numPr>
                <w:ilvl w:val="0"/>
                <w:numId w:val="2"/>
              </w:numPr>
              <w:spacing w:line="240" w:lineRule="auto"/>
              <w:rPr>
                <w:rFonts w:hint="eastAsia" w:ascii="宋体" w:hAnsi="宋体" w:eastAsia="宋体" w:cs="宋体"/>
                <w:color w:val="auto"/>
                <w:sz w:val="18"/>
                <w:szCs w:val="18"/>
                <w:vertAlign w:val="baseline"/>
              </w:rPr>
            </w:pPr>
            <w:r>
              <w:rPr>
                <w:rFonts w:hint="eastAsia" w:ascii="宋体" w:hAnsi="宋体" w:eastAsia="宋体" w:cs="宋体"/>
                <w:bCs/>
                <w:color w:val="auto"/>
                <w:sz w:val="18"/>
                <w:szCs w:val="18"/>
              </w:rPr>
              <w:t>钢结构：钢架构件（含接合板）采用Q235B钢制作，结构用钢应符合《GB700-88》规定的Q235要求，保证其抗拉强度、伸长率、屈服点，碳、硫、磷的极限含量；</w:t>
            </w:r>
            <w:r>
              <w:rPr>
                <w:rFonts w:hint="eastAsia" w:ascii="宋体" w:hAnsi="宋体" w:eastAsia="宋体" w:cs="宋体"/>
                <w:bCs/>
                <w:color w:val="auto"/>
                <w:sz w:val="18"/>
                <w:szCs w:val="18"/>
              </w:rPr>
              <w:br w:type="textWrapping"/>
            </w:r>
            <w:r>
              <w:rPr>
                <w:rFonts w:hint="eastAsia" w:ascii="宋体" w:hAnsi="宋体" w:eastAsia="宋体" w:cs="宋体"/>
                <w:bCs/>
                <w:color w:val="auto"/>
                <w:sz w:val="18"/>
                <w:szCs w:val="18"/>
              </w:rPr>
              <w:t>2、焊条：手工焊：Q235连接用E43系列焊条；</w:t>
            </w:r>
            <w:r>
              <w:rPr>
                <w:rFonts w:hint="eastAsia" w:ascii="宋体" w:hAnsi="宋体" w:eastAsia="宋体" w:cs="宋体"/>
                <w:bCs/>
                <w:color w:val="auto"/>
                <w:sz w:val="18"/>
                <w:szCs w:val="18"/>
              </w:rPr>
              <w:br w:type="textWrapping"/>
            </w:r>
            <w:r>
              <w:rPr>
                <w:rFonts w:hint="eastAsia" w:ascii="宋体" w:hAnsi="宋体" w:eastAsia="宋体" w:cs="宋体"/>
                <w:bCs/>
                <w:color w:val="auto"/>
                <w:sz w:val="18"/>
                <w:szCs w:val="18"/>
              </w:rPr>
              <w:t>3、自动焊：Q235连接用H08系列焊条；</w:t>
            </w:r>
          </w:p>
        </w:tc>
        <w:tc>
          <w:tcPr>
            <w:tcW w:w="391" w:type="pct"/>
            <w:vAlign w:val="center"/>
          </w:tcPr>
          <w:p w14:paraId="237DE00C">
            <w:pPr>
              <w:numPr>
                <w:ilvl w:val="0"/>
                <w:numId w:val="0"/>
              </w:numPr>
              <w:spacing w:line="240" w:lineRule="auto"/>
              <w:rPr>
                <w:rFonts w:hint="eastAsia" w:ascii="宋体" w:hAnsi="宋体" w:eastAsia="宋体" w:cs="宋体"/>
                <w:bCs/>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 xml:space="preserve">11.38 </w:t>
            </w:r>
          </w:p>
        </w:tc>
        <w:tc>
          <w:tcPr>
            <w:tcW w:w="391" w:type="pct"/>
            <w:vAlign w:val="center"/>
          </w:tcPr>
          <w:p w14:paraId="1A1BDD72">
            <w:pPr>
              <w:numPr>
                <w:ilvl w:val="0"/>
                <w:numId w:val="0"/>
              </w:numPr>
              <w:spacing w:line="240" w:lineRule="auto"/>
              <w:rPr>
                <w:rFonts w:hint="eastAsia" w:ascii="宋体" w:hAnsi="宋体" w:eastAsia="宋体" w:cs="宋体"/>
                <w:bCs/>
                <w:color w:val="auto"/>
                <w:sz w:val="18"/>
                <w:szCs w:val="18"/>
              </w:rPr>
            </w:pPr>
            <w:r>
              <w:rPr>
                <w:rFonts w:hint="eastAsia" w:ascii="宋体" w:hAnsi="宋体" w:eastAsia="宋体" w:cs="宋体"/>
                <w:b w:val="0"/>
                <w:bCs w:val="0"/>
                <w:i w:val="0"/>
                <w:iCs w:val="0"/>
                <w:color w:val="auto"/>
                <w:kern w:val="0"/>
                <w:sz w:val="18"/>
                <w:szCs w:val="18"/>
                <w:u w:val="none"/>
                <w:lang w:val="en-US" w:eastAsia="zh-CN" w:bidi="ar"/>
              </w:rPr>
              <w:t>㎡</w:t>
            </w:r>
          </w:p>
        </w:tc>
      </w:tr>
      <w:tr w14:paraId="5A33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07D877A5">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7</w:t>
            </w:r>
          </w:p>
        </w:tc>
        <w:tc>
          <w:tcPr>
            <w:tcW w:w="644" w:type="pct"/>
            <w:vAlign w:val="center"/>
          </w:tcPr>
          <w:p w14:paraId="09E0AB66">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b w:val="0"/>
                <w:bCs w:val="0"/>
                <w:i w:val="0"/>
                <w:iCs w:val="0"/>
                <w:color w:val="auto"/>
                <w:sz w:val="18"/>
                <w:szCs w:val="18"/>
                <w:u w:val="none"/>
                <w:lang w:eastAsia="zh-CN"/>
              </w:rPr>
              <w:t>显示系统</w:t>
            </w:r>
          </w:p>
        </w:tc>
        <w:tc>
          <w:tcPr>
            <w:tcW w:w="3317" w:type="pct"/>
            <w:vAlign w:val="center"/>
          </w:tcPr>
          <w:p w14:paraId="58DF3DE4">
            <w:pPr>
              <w:keepNext w:val="0"/>
              <w:keepLines w:val="0"/>
              <w:widowControl/>
              <w:suppressLineNumbers w:val="0"/>
              <w:jc w:val="left"/>
              <w:rPr>
                <w:rFonts w:hint="eastAsia" w:ascii="宋体" w:hAnsi="宋体" w:eastAsia="宋体" w:cs="宋体"/>
                <w:color w:val="auto"/>
                <w:sz w:val="18"/>
                <w:szCs w:val="18"/>
                <w:vertAlign w:val="baseline"/>
                <w:lang w:val="en-US" w:eastAsia="zh-CN"/>
              </w:rPr>
            </w:pPr>
            <w:r>
              <w:rPr>
                <w:rFonts w:hint="eastAsia" w:ascii="宋体" w:hAnsi="宋体" w:eastAsia="宋体" w:cs="宋体"/>
                <w:b w:val="0"/>
                <w:bCs w:val="0"/>
                <w:i w:val="0"/>
                <w:iCs w:val="0"/>
                <w:color w:val="auto"/>
                <w:kern w:val="0"/>
                <w:sz w:val="18"/>
                <w:szCs w:val="18"/>
                <w:u w:val="none"/>
                <w:lang w:val="en-US" w:eastAsia="zh-CN" w:bidi="ar"/>
              </w:rPr>
              <w:t>配套4个台式机，主机配置不低于：CPU 英特尔第13代酷睿 i5</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val="0"/>
                <w:i w:val="0"/>
                <w:iCs w:val="0"/>
                <w:color w:val="auto"/>
                <w:kern w:val="0"/>
                <w:sz w:val="18"/>
                <w:szCs w:val="18"/>
                <w:u w:val="none"/>
                <w:lang w:val="en-US" w:eastAsia="zh-CN" w:bidi="ar"/>
              </w:rPr>
              <w:t>4G独显+16G运行内存（≥16GB DDR4高频内存，默认运行频率≥3200MHz）+512G固态硬盘（NVMe M.2高速固态硬盘）+2T机械硬盘（SATA接口机械硬盘，转速≥7200转/分钟），含显示器（≥23寸）和键盘鼠标。</w:t>
            </w:r>
          </w:p>
        </w:tc>
        <w:tc>
          <w:tcPr>
            <w:tcW w:w="391" w:type="pct"/>
            <w:shd w:val="clear" w:color="auto" w:fill="auto"/>
            <w:vAlign w:val="center"/>
          </w:tcPr>
          <w:p w14:paraId="0B73298F">
            <w:pPr>
              <w:numPr>
                <w:ilvl w:val="0"/>
                <w:numId w:val="0"/>
              </w:numPr>
              <w:spacing w:line="240" w:lineRule="auto"/>
              <w:ind w:left="0" w:leftChars="0" w:firstLine="0" w:firstLineChars="0"/>
              <w:rPr>
                <w:rFonts w:hint="eastAsia" w:ascii="宋体" w:hAnsi="宋体" w:eastAsia="宋体" w:cs="宋体"/>
                <w:bCs/>
                <w:color w:val="auto"/>
                <w:kern w:val="2"/>
                <w:sz w:val="18"/>
                <w:szCs w:val="18"/>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w:t>
            </w:r>
          </w:p>
        </w:tc>
        <w:tc>
          <w:tcPr>
            <w:tcW w:w="391" w:type="pct"/>
            <w:shd w:val="clear" w:color="auto" w:fill="auto"/>
            <w:vAlign w:val="center"/>
          </w:tcPr>
          <w:p w14:paraId="335414F6">
            <w:pPr>
              <w:numPr>
                <w:ilvl w:val="0"/>
                <w:numId w:val="0"/>
              </w:numPr>
              <w:spacing w:line="240" w:lineRule="auto"/>
              <w:ind w:left="0" w:leftChars="0" w:firstLine="0" w:firstLineChars="0"/>
              <w:rPr>
                <w:rFonts w:hint="eastAsia" w:ascii="宋体" w:hAnsi="宋体" w:eastAsia="宋体" w:cs="宋体"/>
                <w:bCs/>
                <w:color w:val="auto"/>
                <w:kern w:val="2"/>
                <w:sz w:val="18"/>
                <w:szCs w:val="18"/>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项</w:t>
            </w:r>
          </w:p>
        </w:tc>
      </w:tr>
      <w:tr w14:paraId="188B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21FFEED">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8</w:t>
            </w:r>
          </w:p>
        </w:tc>
        <w:tc>
          <w:tcPr>
            <w:tcW w:w="644" w:type="pct"/>
            <w:vAlign w:val="center"/>
          </w:tcPr>
          <w:p w14:paraId="0B30EFF1">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安装施工</w:t>
            </w:r>
          </w:p>
        </w:tc>
        <w:tc>
          <w:tcPr>
            <w:tcW w:w="3317" w:type="pct"/>
            <w:vAlign w:val="center"/>
          </w:tcPr>
          <w:p w14:paraId="7D4A9FAA">
            <w:pPr>
              <w:spacing w:line="240" w:lineRule="auto"/>
              <w:jc w:val="left"/>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LED大屏的安装调试、</w:t>
            </w:r>
            <w:r>
              <w:rPr>
                <w:rFonts w:hint="eastAsia" w:ascii="宋体" w:hAnsi="宋体" w:cs="宋体"/>
                <w:color w:val="auto"/>
                <w:sz w:val="18"/>
                <w:szCs w:val="18"/>
                <w:vertAlign w:val="baseline"/>
                <w:lang w:val="en-US" w:eastAsia="zh-CN"/>
              </w:rPr>
              <w:t>技术培训、</w:t>
            </w:r>
            <w:r>
              <w:rPr>
                <w:rFonts w:hint="eastAsia" w:ascii="宋体" w:hAnsi="宋体" w:eastAsia="宋体" w:cs="宋体"/>
                <w:color w:val="auto"/>
                <w:sz w:val="18"/>
                <w:szCs w:val="18"/>
                <w:vertAlign w:val="baseline"/>
                <w:lang w:val="en-US" w:eastAsia="zh-CN"/>
              </w:rPr>
              <w:t>售后维护</w:t>
            </w:r>
          </w:p>
        </w:tc>
        <w:tc>
          <w:tcPr>
            <w:tcW w:w="391" w:type="pct"/>
            <w:shd w:val="clear" w:color="auto" w:fill="auto"/>
            <w:vAlign w:val="center"/>
          </w:tcPr>
          <w:p w14:paraId="3A52D32D">
            <w:pPr>
              <w:numPr>
                <w:ilvl w:val="0"/>
                <w:numId w:val="0"/>
              </w:numPr>
              <w:spacing w:line="240" w:lineRule="auto"/>
              <w:ind w:left="0" w:leftChars="0" w:firstLine="0" w:firstLineChars="0"/>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1</w:t>
            </w:r>
          </w:p>
        </w:tc>
        <w:tc>
          <w:tcPr>
            <w:tcW w:w="391" w:type="pct"/>
            <w:shd w:val="clear" w:color="auto" w:fill="auto"/>
            <w:vAlign w:val="center"/>
          </w:tcPr>
          <w:p w14:paraId="5173A669">
            <w:pPr>
              <w:numPr>
                <w:ilvl w:val="0"/>
                <w:numId w:val="0"/>
              </w:numPr>
              <w:spacing w:line="240" w:lineRule="auto"/>
              <w:ind w:left="0" w:leftChars="0" w:firstLine="0" w:firstLineChars="0"/>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项</w:t>
            </w:r>
          </w:p>
        </w:tc>
      </w:tr>
      <w:tr w14:paraId="7CDF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43B3CEF">
            <w:pPr>
              <w:spacing w:line="240" w:lineRule="auto"/>
              <w:jc w:val="center"/>
              <w:rPr>
                <w:rFonts w:hint="default" w:ascii="宋体" w:hAnsi="宋体" w:eastAsia="宋体" w:cs="宋体"/>
                <w:color w:val="auto"/>
                <w:sz w:val="18"/>
                <w:szCs w:val="18"/>
                <w:vertAlign w:val="baseline"/>
                <w:lang w:val="en-US" w:eastAsia="zh-CN"/>
              </w:rPr>
            </w:pPr>
            <w:r>
              <w:rPr>
                <w:rFonts w:hint="eastAsia" w:ascii="宋体" w:hAnsi="宋体" w:cs="宋体"/>
                <w:color w:val="auto"/>
                <w:sz w:val="18"/>
                <w:szCs w:val="18"/>
                <w:vertAlign w:val="baseline"/>
                <w:lang w:val="en-US" w:eastAsia="zh-CN"/>
              </w:rPr>
              <w:t>9</w:t>
            </w:r>
          </w:p>
        </w:tc>
        <w:tc>
          <w:tcPr>
            <w:tcW w:w="644" w:type="pct"/>
            <w:vAlign w:val="center"/>
          </w:tcPr>
          <w:p w14:paraId="0D5FCAE3">
            <w:pPr>
              <w:spacing w:line="240" w:lineRule="auto"/>
              <w:jc w:val="center"/>
              <w:rPr>
                <w:rFonts w:hint="eastAsia" w:ascii="宋体" w:hAnsi="宋体" w:eastAsia="宋体" w:cs="宋体"/>
                <w:color w:val="auto"/>
                <w:sz w:val="18"/>
                <w:szCs w:val="18"/>
                <w:vertAlign w:val="baseline"/>
                <w:lang w:val="en-US" w:eastAsia="zh-CN"/>
              </w:rPr>
            </w:pPr>
            <w:r>
              <w:rPr>
                <w:rFonts w:hint="eastAsia" w:ascii="宋体" w:hAnsi="宋体" w:cs="宋体"/>
                <w:color w:val="auto"/>
                <w:sz w:val="18"/>
                <w:szCs w:val="18"/>
                <w:vertAlign w:val="baseline"/>
                <w:lang w:val="en-US" w:eastAsia="zh-CN"/>
              </w:rPr>
              <w:t>安装地点</w:t>
            </w:r>
          </w:p>
        </w:tc>
        <w:tc>
          <w:tcPr>
            <w:tcW w:w="4100" w:type="pct"/>
            <w:gridSpan w:val="3"/>
            <w:vAlign w:val="center"/>
          </w:tcPr>
          <w:p w14:paraId="741535F2">
            <w:pPr>
              <w:spacing w:line="240" w:lineRule="auto"/>
              <w:jc w:val="left"/>
              <w:rPr>
                <w:rFonts w:hint="eastAsia" w:ascii="宋体" w:hAnsi="宋体" w:eastAsia="宋体" w:cs="宋体"/>
                <w:b w:val="0"/>
                <w:bCs w:val="0"/>
                <w:i w:val="0"/>
                <w:iCs w:val="0"/>
                <w:color w:val="auto"/>
                <w:kern w:val="0"/>
                <w:sz w:val="18"/>
                <w:szCs w:val="18"/>
                <w:u w:val="none"/>
                <w:lang w:val="en-US" w:eastAsia="zh-CN" w:bidi="ar"/>
              </w:rPr>
            </w:pPr>
            <w:r>
              <w:rPr>
                <w:rFonts w:hint="default" w:ascii="宋体" w:hAnsi="宋体" w:eastAsia="宋体" w:cs="宋体"/>
                <w:color w:val="auto"/>
                <w:sz w:val="18"/>
                <w:szCs w:val="18"/>
                <w:vertAlign w:val="baseline"/>
                <w:lang w:val="en-US" w:eastAsia="zh-CN"/>
              </w:rPr>
              <w:t>内蒙古自治区鄂尔多斯市准格尔旗</w:t>
            </w:r>
          </w:p>
        </w:tc>
      </w:tr>
    </w:tbl>
    <w:p w14:paraId="7D3E472F">
      <w:bookmarkStart w:id="0" w:name="_GoBack"/>
      <w:bookmarkEnd w:id="0"/>
    </w:p>
    <w:sectPr>
      <w:pgSz w:w="11906" w:h="16838"/>
      <w:pgMar w:top="1440" w:right="1803" w:bottom="1440" w:left="1803" w:header="851" w:footer="992" w:gutter="0"/>
      <w:cols w:space="0" w:num="1"/>
      <w:rtlGutter w:val="0"/>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755C02"/>
    <w:multiLevelType w:val="singleLevel"/>
    <w:tmpl w:val="2D755C02"/>
    <w:lvl w:ilvl="0" w:tentative="0">
      <w:start w:val="1"/>
      <w:numFmt w:val="decimal"/>
      <w:suff w:val="nothing"/>
      <w:lvlText w:val="%1．"/>
      <w:lvlJc w:val="left"/>
      <w:pPr>
        <w:ind w:left="0" w:firstLine="0"/>
      </w:pPr>
      <w:rPr>
        <w:rFonts w:hint="default"/>
      </w:rPr>
    </w:lvl>
  </w:abstractNum>
  <w:abstractNum w:abstractNumId="1">
    <w:nsid w:val="32105B4A"/>
    <w:multiLevelType w:val="singleLevel"/>
    <w:tmpl w:val="32105B4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2OTRlNGY1YzljOGIxNzkyOGI0OWI3MWQxZGNiZGQifQ=="/>
  </w:docVars>
  <w:rsids>
    <w:rsidRoot w:val="00C63650"/>
    <w:rsid w:val="00C63650"/>
    <w:rsid w:val="06B141BC"/>
    <w:rsid w:val="12D41AC7"/>
    <w:rsid w:val="16D91055"/>
    <w:rsid w:val="219D5F36"/>
    <w:rsid w:val="220D4D8C"/>
    <w:rsid w:val="25C3419D"/>
    <w:rsid w:val="280F15D0"/>
    <w:rsid w:val="2B2F0750"/>
    <w:rsid w:val="31A92F95"/>
    <w:rsid w:val="3A1A463D"/>
    <w:rsid w:val="45BF33F9"/>
    <w:rsid w:val="4AEF2541"/>
    <w:rsid w:val="521B5B39"/>
    <w:rsid w:val="5467032C"/>
    <w:rsid w:val="580E13A5"/>
    <w:rsid w:val="683F0704"/>
    <w:rsid w:val="6D7E32C4"/>
    <w:rsid w:val="73D76A7F"/>
    <w:rsid w:val="74A722CC"/>
    <w:rsid w:val="7CD74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left"/>
    </w:pPr>
    <w:rPr>
      <w:rFonts w:eastAsia="宋体" w:asciiTheme="minorAscii" w:hAnsiTheme="minorAscii" w:cstheme="minorBidi"/>
      <w:kern w:val="2"/>
      <w:sz w:val="24"/>
      <w:szCs w:val="24"/>
      <w:lang w:val="en-US" w:eastAsia="zh-CN" w:bidi="ar-SA"/>
    </w:rPr>
  </w:style>
  <w:style w:type="paragraph" w:styleId="2">
    <w:name w:val="heading 2"/>
    <w:basedOn w:val="1"/>
    <w:next w:val="1"/>
    <w:qFormat/>
    <w:uiPriority w:val="0"/>
    <w:pPr>
      <w:keepNext/>
      <w:keepLines/>
      <w:spacing w:beforeLines="0" w:beforeAutospacing="0" w:afterLines="0" w:afterAutospacing="0" w:line="560" w:lineRule="exact"/>
      <w:ind w:firstLine="0" w:firstLineChars="0"/>
      <w:jc w:val="center"/>
      <w:outlineLvl w:val="1"/>
    </w:pPr>
    <w:rPr>
      <w:rFonts w:ascii="Arial" w:hAnsi="Arial"/>
      <w:b/>
      <w:sz w:val="36"/>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unhideWhenUsed/>
    <w:qFormat/>
    <w:uiPriority w:val="99"/>
    <w:pPr>
      <w:ind w:firstLine="420" w:firstLineChars="200"/>
    </w:pPr>
  </w:style>
  <w:style w:type="paragraph" w:customStyle="1" w:styleId="7">
    <w:name w:val="列表段落1"/>
    <w:basedOn w:val="1"/>
    <w:qFormat/>
    <w:uiPriority w:val="99"/>
    <w:pPr>
      <w:ind w:firstLine="420" w:firstLineChars="200"/>
    </w:pPr>
  </w:style>
  <w:style w:type="paragraph" w:customStyle="1" w:styleId="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3308</Words>
  <Characters>4158</Characters>
  <Lines>0</Lines>
  <Paragraphs>0</Paragraphs>
  <TotalTime>3</TotalTime>
  <ScaleCrop>false</ScaleCrop>
  <LinksUpToDate>false</LinksUpToDate>
  <CharactersWithSpaces>4191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2021-05-10T01:52:00Z</dcterms:created>
  <dc:creator>Thinkpad</dc:creator>
  <cp:lastModifiedBy>陈建东</cp:lastModifiedBy>
  <dcterms:modified xsi:type="dcterms:W3CDTF">2026-03-23T03:56:04Z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738EC3AAD4C7493FBE10674C3E02EBA0_13</vt:lpwstr>
  </property>
  <property fmtid="{D5CDD505-2E9C-101B-9397-08002B2CF9AE}" pid="4" name="KSOTemplateDocerSaveRecord">
    <vt:lpwstr>eyJoZGlkIjoiZGVlNjQyYTAyNjI3ZDk1NGMxM2NmMWFjYjk2NWVkZWEiLCJ1c2VySWQiOiIyNjI2MTQzNTgifQ==</vt:lpwstr>
  </property>
</Properties>
</file>