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 w:line="400" w:lineRule="exact"/>
        <w:jc w:val="center"/>
        <w:rPr>
          <w:rFonts w:ascii="黑体" w:hAnsi="黑体" w:eastAsia="黑体"/>
          <w:sz w:val="36"/>
          <w:szCs w:val="32"/>
        </w:rPr>
      </w:pPr>
      <w:r>
        <w:rPr>
          <w:rFonts w:ascii="黑体" w:hAnsi="黑体" w:eastAsia="黑体"/>
          <w:sz w:val="36"/>
          <w:szCs w:val="32"/>
        </w:rPr>
        <w:t>赤峪煤矿</w:t>
      </w:r>
    </w:p>
    <w:p>
      <w:pPr>
        <w:jc w:val="center"/>
        <w:rPr>
          <w:rFonts w:ascii="黑体" w:hAnsi="黑体" w:eastAsia="黑体"/>
          <w:sz w:val="36"/>
          <w:szCs w:val="32"/>
        </w:rPr>
      </w:pPr>
      <w:r>
        <w:rPr>
          <w:rFonts w:hint="eastAsia" w:ascii="黑体" w:hAnsi="黑体" w:eastAsia="黑体"/>
          <w:sz w:val="36"/>
          <w:szCs w:val="32"/>
        </w:rPr>
        <w:t>北风井燃气锅炉</w:t>
      </w:r>
      <w:r>
        <w:rPr>
          <w:rFonts w:hint="eastAsia" w:ascii="黑体" w:hAnsi="黑体" w:eastAsia="黑体"/>
          <w:sz w:val="36"/>
          <w:szCs w:val="32"/>
          <w:lang w:eastAsia="zh-CN"/>
        </w:rPr>
        <w:t>热交换器外委</w:t>
      </w:r>
      <w:r>
        <w:rPr>
          <w:rFonts w:hint="eastAsia" w:ascii="黑体" w:hAnsi="黑体" w:eastAsia="黑体"/>
          <w:sz w:val="36"/>
          <w:szCs w:val="32"/>
        </w:rPr>
        <w:t>维修</w:t>
      </w:r>
      <w:r>
        <w:rPr>
          <w:rFonts w:ascii="黑体" w:hAnsi="黑体" w:eastAsia="黑体"/>
          <w:sz w:val="36"/>
          <w:szCs w:val="32"/>
        </w:rPr>
        <w:t>技术要求</w:t>
      </w:r>
    </w:p>
    <w:p>
      <w:pPr>
        <w:pStyle w:val="2"/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Theme="minorEastAsia" w:hAnsiTheme="minorEastAsia" w:eastAsiaTheme="minorEastAsia"/>
          <w:sz w:val="32"/>
          <w:szCs w:val="32"/>
          <w:lang w:val="en-US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概况</w:t>
      </w:r>
      <w:r>
        <w:rPr>
          <w:rFonts w:hint="eastAsia" w:asciiTheme="minorEastAsia" w:hAnsiTheme="minorEastAsia" w:eastAsiaTheme="minorEastAsia"/>
          <w:sz w:val="32"/>
          <w:szCs w:val="32"/>
          <w:lang w:eastAsia="zh-CN"/>
        </w:rPr>
        <w:t>：赤峪煤矿</w:t>
      </w:r>
      <w:r>
        <w:rPr>
          <w:rFonts w:hint="eastAsia" w:asciiTheme="minorEastAsia" w:hAnsiTheme="minorEastAsia" w:eastAsiaTheme="minorEastAsia"/>
          <w:sz w:val="32"/>
          <w:szCs w:val="32"/>
          <w:lang w:val="en-US"/>
        </w:rPr>
        <w:t>北风井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燃气锅炉</w:t>
      </w:r>
      <w:r>
        <w:rPr>
          <w:rFonts w:hint="eastAsia" w:asciiTheme="minorEastAsia" w:hAnsiTheme="minorEastAsia" w:eastAsiaTheme="minorEastAsia"/>
          <w:sz w:val="32"/>
          <w:szCs w:val="32"/>
          <w:lang w:val="en-US"/>
        </w:rPr>
        <w:t>（型号：300×10</w:t>
      </w:r>
      <w:r>
        <w:rPr>
          <w:rFonts w:hint="eastAsia" w:asciiTheme="minorEastAsia" w:hAnsiTheme="minorEastAsia" w:eastAsiaTheme="minorEastAsia"/>
          <w:sz w:val="32"/>
          <w:szCs w:val="32"/>
          <w:vertAlign w:val="superscript"/>
          <w:lang w:val="en-US"/>
        </w:rPr>
        <w:t>4</w:t>
      </w:r>
      <w:r>
        <w:rPr>
          <w:rFonts w:hint="eastAsia" w:asciiTheme="minorEastAsia" w:hAnsiTheme="minorEastAsia" w:eastAsiaTheme="minorEastAsia"/>
          <w:sz w:val="32"/>
          <w:szCs w:val="32"/>
          <w:lang w:val="en-US"/>
        </w:rPr>
        <w:t>Kcal燃气自控热风炉）经过多年的使用，目前存在以下问题：正常使用时，热风炉炉膛内的温度很高（800～1100℃），但进空气热交换器前的温度降至不到300℃，而换热后的热空气温度更是低至只有20～40℃，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不足以满足我矿北风井井筒温度保持2℃以上</w:t>
      </w:r>
      <w:r>
        <w:rPr>
          <w:rFonts w:hint="eastAsia" w:asciiTheme="minorEastAsia" w:hAnsiTheme="minorEastAsia" w:eastAsiaTheme="minorEastAsia"/>
          <w:sz w:val="32"/>
          <w:szCs w:val="32"/>
          <w:lang w:val="en-US"/>
        </w:rPr>
        <w:t>。</w:t>
      </w:r>
    </w:p>
    <w:p>
      <w:pPr>
        <w:pStyle w:val="2"/>
        <w:numPr>
          <w:ilvl w:val="0"/>
          <w:numId w:val="0"/>
        </w:numPr>
        <w:spacing w:line="360" w:lineRule="auto"/>
        <w:ind w:leftChars="0"/>
        <w:rPr>
          <w:rFonts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二、北风井燃气锅炉维修技术要求</w:t>
      </w:r>
    </w:p>
    <w:p>
      <w:pPr>
        <w:ind w:firstLine="640" w:firstLineChars="200"/>
        <w:jc w:val="left"/>
        <w:rPr>
          <w:rFonts w:cs="Arial" w:asciiTheme="minorEastAsia" w:hAnsiTheme="minorEastAsia" w:eastAsiaTheme="minorEastAsia"/>
          <w:color w:val="333333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1、</w:t>
      </w:r>
      <w:r>
        <w:rPr>
          <w:rFonts w:hint="eastAsia" w:cs="Arial" w:asciiTheme="minorEastAsia" w:hAnsiTheme="minorEastAsia" w:eastAsiaTheme="minorEastAsia"/>
          <w:color w:val="333333"/>
          <w:sz w:val="32"/>
          <w:szCs w:val="32"/>
        </w:rPr>
        <w:t>热交换器型号：BMAHE-800</w:t>
      </w:r>
    </w:p>
    <w:p>
      <w:pPr>
        <w:jc w:val="left"/>
        <w:rPr>
          <w:rFonts w:cs="Arial" w:asciiTheme="minorEastAsia" w:hAnsiTheme="minorEastAsia" w:eastAsiaTheme="minorEastAsia"/>
          <w:color w:val="333333"/>
          <w:sz w:val="32"/>
          <w:szCs w:val="32"/>
        </w:rPr>
      </w:pPr>
      <w:r>
        <w:rPr>
          <w:rFonts w:hint="eastAsia" w:cs="Arial" w:asciiTheme="minorEastAsia" w:hAnsiTheme="minorEastAsia" w:eastAsiaTheme="minorEastAsia"/>
          <w:color w:val="333333"/>
          <w:sz w:val="32"/>
          <w:szCs w:val="32"/>
        </w:rPr>
        <w:tab/>
      </w:r>
      <w:r>
        <w:rPr>
          <w:rFonts w:hint="eastAsia" w:cs="Arial" w:asciiTheme="minorEastAsia" w:hAnsiTheme="minorEastAsia" w:eastAsiaTheme="minorEastAsia"/>
          <w:color w:val="333333"/>
          <w:sz w:val="32"/>
          <w:szCs w:val="32"/>
          <w:lang w:val="en-US" w:eastAsia="zh-CN"/>
        </w:rPr>
        <w:t xml:space="preserve">    </w:t>
      </w:r>
      <w:r>
        <w:rPr>
          <w:rFonts w:hint="eastAsia" w:cs="Arial" w:asciiTheme="minorEastAsia" w:hAnsiTheme="minorEastAsia" w:eastAsiaTheme="minorEastAsia"/>
          <w:color w:val="333333"/>
          <w:sz w:val="32"/>
          <w:szCs w:val="32"/>
        </w:rPr>
        <w:t>维修数量：2台</w:t>
      </w:r>
    </w:p>
    <w:p>
      <w:pPr>
        <w:jc w:val="left"/>
        <w:rPr>
          <w:rFonts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ab/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sz w:val="32"/>
          <w:szCs w:val="32"/>
        </w:rPr>
        <w:t>2、对两台空气热交换器检修。需要拆口检修孔，检查浇注料的断裂、脱落和换热管的堵塞状况，需要将堵塞的管道进行专业疏通，断裂、脱落的浇注料进行清理，并重新使用浇注料进行修补。</w:t>
      </w:r>
    </w:p>
    <w:p>
      <w:pPr>
        <w:ind w:firstLine="640" w:firstLineChars="200"/>
        <w:jc w:val="left"/>
        <w:rPr>
          <w:rFonts w:hint="eastAsia" w:cs="Arial" w:asciiTheme="minorEastAsia" w:hAnsiTheme="minorEastAsia" w:eastAsiaTheme="minorEastAsia"/>
          <w:color w:val="333333"/>
          <w:sz w:val="32"/>
          <w:szCs w:val="32"/>
        </w:rPr>
      </w:pPr>
      <w:r>
        <w:rPr>
          <w:rFonts w:hint="eastAsia" w:cs="Arial" w:asciiTheme="minorEastAsia" w:hAnsiTheme="minorEastAsia" w:eastAsiaTheme="minorEastAsia"/>
          <w:color w:val="333333"/>
          <w:sz w:val="32"/>
          <w:szCs w:val="32"/>
          <w:lang w:val="en-US" w:eastAsia="zh-CN"/>
        </w:rPr>
        <w:t>3</w:t>
      </w:r>
      <w:r>
        <w:rPr>
          <w:rFonts w:hint="eastAsia" w:cs="Arial" w:asciiTheme="minorEastAsia" w:hAnsiTheme="minorEastAsia" w:eastAsiaTheme="minorEastAsia"/>
          <w:color w:val="333333"/>
          <w:sz w:val="32"/>
          <w:szCs w:val="32"/>
        </w:rPr>
        <w:t>、维修</w:t>
      </w:r>
      <w:r>
        <w:rPr>
          <w:rFonts w:cs="Arial" w:asciiTheme="minorEastAsia" w:hAnsiTheme="minorEastAsia" w:eastAsiaTheme="minorEastAsia"/>
          <w:color w:val="333333"/>
          <w:sz w:val="32"/>
          <w:szCs w:val="32"/>
        </w:rPr>
        <w:t>方</w:t>
      </w:r>
      <w:r>
        <w:rPr>
          <w:rFonts w:hint="eastAsia" w:cs="Arial" w:asciiTheme="minorEastAsia" w:hAnsiTheme="minorEastAsia" w:eastAsiaTheme="minorEastAsia"/>
          <w:color w:val="333333"/>
          <w:sz w:val="32"/>
          <w:szCs w:val="32"/>
        </w:rPr>
        <w:t>应</w:t>
      </w:r>
      <w:r>
        <w:rPr>
          <w:rFonts w:cs="Arial" w:asciiTheme="minorEastAsia" w:hAnsiTheme="minorEastAsia" w:eastAsiaTheme="minorEastAsia"/>
          <w:color w:val="333333"/>
          <w:sz w:val="32"/>
          <w:szCs w:val="32"/>
        </w:rPr>
        <w:t>提供符合本技术</w:t>
      </w:r>
      <w:r>
        <w:rPr>
          <w:rFonts w:hint="eastAsia" w:cs="Arial" w:asciiTheme="minorEastAsia" w:hAnsiTheme="minorEastAsia" w:eastAsiaTheme="minorEastAsia"/>
          <w:color w:val="333333"/>
          <w:sz w:val="32"/>
          <w:szCs w:val="32"/>
        </w:rPr>
        <w:t>要求</w:t>
      </w:r>
      <w:r>
        <w:rPr>
          <w:rFonts w:cs="Arial" w:asciiTheme="minorEastAsia" w:hAnsiTheme="minorEastAsia" w:eastAsiaTheme="minorEastAsia"/>
          <w:color w:val="333333"/>
          <w:sz w:val="32"/>
          <w:szCs w:val="32"/>
        </w:rPr>
        <w:t>和有关工业标准以及</w:t>
      </w:r>
      <w:r>
        <w:rPr>
          <w:rFonts w:hint="eastAsia" w:cs="Arial" w:asciiTheme="minorEastAsia" w:hAnsiTheme="minorEastAsia" w:eastAsiaTheme="minorEastAsia"/>
          <w:color w:val="333333"/>
          <w:sz w:val="32"/>
          <w:szCs w:val="32"/>
        </w:rPr>
        <w:t>矿</w:t>
      </w:r>
      <w:r>
        <w:rPr>
          <w:rFonts w:cs="Arial" w:asciiTheme="minorEastAsia" w:hAnsiTheme="minorEastAsia" w:eastAsiaTheme="minorEastAsia"/>
          <w:color w:val="333333"/>
          <w:sz w:val="32"/>
          <w:szCs w:val="32"/>
        </w:rPr>
        <w:t>方提出的合理的技术要求和服务</w:t>
      </w:r>
    </w:p>
    <w:p>
      <w:pPr>
        <w:widowControl/>
        <w:spacing w:line="400" w:lineRule="exact"/>
        <w:ind w:firstLine="640" w:firstLineChars="200"/>
        <w:jc w:val="left"/>
        <w:rPr>
          <w:rFonts w:cs="Arial" w:asciiTheme="minorEastAsia" w:hAnsiTheme="minorEastAsia" w:eastAsiaTheme="minorEastAsia"/>
          <w:color w:val="333333"/>
          <w:sz w:val="32"/>
          <w:szCs w:val="32"/>
        </w:rPr>
      </w:pPr>
      <w:r>
        <w:rPr>
          <w:rFonts w:hint="eastAsia" w:cs="Arial" w:asciiTheme="minorEastAsia" w:hAnsiTheme="minorEastAsia" w:eastAsiaTheme="minorEastAsia"/>
          <w:color w:val="333333"/>
          <w:sz w:val="32"/>
          <w:szCs w:val="32"/>
          <w:lang w:val="en-US" w:eastAsia="zh-CN"/>
        </w:rPr>
        <w:t>4</w:t>
      </w:r>
      <w:r>
        <w:rPr>
          <w:rFonts w:hint="eastAsia" w:cs="Arial" w:asciiTheme="minorEastAsia" w:hAnsiTheme="minorEastAsia" w:eastAsiaTheme="minorEastAsia"/>
          <w:color w:val="333333"/>
          <w:sz w:val="32"/>
          <w:szCs w:val="32"/>
        </w:rPr>
        <w:t>、维修方检修必须使用合格的零部件及材料，达到设备原有各项技术性能标准。</w:t>
      </w:r>
      <w:r>
        <w:rPr>
          <w:rFonts w:cs="Arial" w:asciiTheme="minorEastAsia" w:hAnsiTheme="minorEastAsia" w:eastAsiaTheme="minorEastAsia"/>
          <w:color w:val="333333"/>
          <w:sz w:val="32"/>
          <w:szCs w:val="32"/>
        </w:rPr>
        <w:t xml:space="preserve"> </w:t>
      </w:r>
    </w:p>
    <w:p>
      <w:pPr>
        <w:ind w:firstLine="640" w:firstLineChars="200"/>
        <w:jc w:val="left"/>
        <w:rPr>
          <w:rFonts w:hint="eastAsia"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/>
          <w:sz w:val="32"/>
          <w:szCs w:val="32"/>
        </w:rPr>
        <w:t>、维修部位质保一年。</w:t>
      </w:r>
    </w:p>
    <w:p>
      <w:pPr>
        <w:jc w:val="left"/>
        <w:rPr>
          <w:rFonts w:hint="eastAsia" w:asciiTheme="minorEastAsia" w:hAnsiTheme="minorEastAsia" w:eastAsia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eastAsia="zh-CN"/>
        </w:rPr>
        <w:t>三、其它要求</w:t>
      </w:r>
    </w:p>
    <w:p>
      <w:pPr>
        <w:ind w:firstLine="640"/>
        <w:jc w:val="left"/>
        <w:rPr>
          <w:rFonts w:hint="eastAsia" w:ascii="undefined" w:hAnsi="undefined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1、付款方式：</w:t>
      </w:r>
      <w:r>
        <w:rPr>
          <w:rFonts w:hint="eastAsia" w:ascii="undefined" w:hAnsi="undefined"/>
          <w:sz w:val="28"/>
          <w:szCs w:val="28"/>
          <w:lang w:val="en-US" w:eastAsia="zh-CN"/>
        </w:rPr>
        <w:t>无预付款，维修完成，经矿方验收合格，维修方开具增值税发票，挂账付款，10%质保金。</w:t>
      </w:r>
    </w:p>
    <w:p>
      <w:pPr>
        <w:ind w:firstLine="640"/>
        <w:jc w:val="left"/>
        <w:rPr>
          <w:rFonts w:hint="eastAsia" w:ascii="undefined" w:hAnsi="undefined"/>
          <w:sz w:val="28"/>
          <w:szCs w:val="28"/>
          <w:lang w:val="en-US" w:eastAsia="zh-CN"/>
        </w:rPr>
      </w:pPr>
      <w:r>
        <w:rPr>
          <w:rFonts w:hint="eastAsia" w:ascii="undefined" w:hAnsi="undefined"/>
          <w:sz w:val="28"/>
          <w:szCs w:val="28"/>
          <w:lang w:val="en-US" w:eastAsia="zh-CN"/>
        </w:rPr>
        <w:t>2、维修周期：合同签订后10内完成</w:t>
      </w:r>
    </w:p>
    <w:p>
      <w:pPr>
        <w:ind w:firstLine="640"/>
        <w:jc w:val="left"/>
        <w:rPr>
          <w:rFonts w:hint="eastAsia" w:ascii="undefined" w:hAnsi="undefined"/>
          <w:sz w:val="28"/>
          <w:szCs w:val="28"/>
          <w:lang w:val="en-US" w:eastAsia="zh-CN"/>
        </w:rPr>
      </w:pPr>
    </w:p>
    <w:p>
      <w:pPr>
        <w:ind w:firstLine="640"/>
        <w:jc w:val="left"/>
        <w:rPr>
          <w:rFonts w:hint="eastAsia" w:ascii="undefined" w:hAnsi="undefined"/>
          <w:sz w:val="28"/>
          <w:szCs w:val="28"/>
          <w:lang w:val="en-US" w:eastAsia="zh-CN"/>
        </w:rPr>
      </w:pPr>
      <w:r>
        <w:rPr>
          <w:rFonts w:hint="eastAsia" w:ascii="undefined" w:hAnsi="undefined"/>
          <w:sz w:val="28"/>
          <w:szCs w:val="28"/>
          <w:lang w:val="en-US" w:eastAsia="zh-CN"/>
        </w:rPr>
        <w:t xml:space="preserve">                                     生产运行部机电办</w:t>
      </w:r>
    </w:p>
    <w:p>
      <w:pPr>
        <w:ind w:firstLine="640"/>
        <w:jc w:val="left"/>
        <w:rPr>
          <w:rFonts w:hint="eastAsia" w:ascii="undefined" w:hAnsi="undefined"/>
          <w:sz w:val="28"/>
          <w:szCs w:val="28"/>
          <w:lang w:val="en-US" w:eastAsia="zh-CN"/>
        </w:rPr>
      </w:pPr>
      <w:r>
        <w:rPr>
          <w:rFonts w:hint="eastAsia" w:ascii="undefined" w:hAnsi="undefined"/>
          <w:sz w:val="28"/>
          <w:szCs w:val="28"/>
          <w:lang w:val="en-US" w:eastAsia="zh-CN"/>
        </w:rPr>
        <w:t xml:space="preserve">                                     2025年9月22日</w:t>
      </w:r>
    </w:p>
    <w:p>
      <w:pPr>
        <w:ind w:firstLine="640"/>
        <w:jc w:val="left"/>
        <w:rPr>
          <w:rFonts w:hint="eastAsia" w:ascii="undefined" w:hAnsi="undefined"/>
          <w:sz w:val="28"/>
          <w:szCs w:val="28"/>
          <w:lang w:val="en-US" w:eastAsia="zh-CN"/>
        </w:rPr>
      </w:pPr>
    </w:p>
    <w:p>
      <w:pPr>
        <w:ind w:firstLine="640"/>
        <w:jc w:val="left"/>
        <w:rPr>
          <w:rFonts w:hint="eastAsia" w:ascii="undefined" w:hAnsi="undefined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641"/>
        <w:jc w:val="left"/>
        <w:textAlignment w:val="auto"/>
        <w:rPr>
          <w:rFonts w:hint="eastAsia" w:ascii="undefined" w:hAnsi="undefined"/>
          <w:sz w:val="28"/>
          <w:szCs w:val="28"/>
          <w:lang w:val="en-US" w:eastAsia="zh-CN"/>
        </w:rPr>
      </w:pPr>
      <w:r>
        <w:rPr>
          <w:rFonts w:hint="eastAsia" w:ascii="undefined" w:hAnsi="undefined"/>
          <w:sz w:val="28"/>
          <w:szCs w:val="28"/>
          <w:lang w:val="en-US" w:eastAsia="zh-CN"/>
        </w:rPr>
        <w:t>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641"/>
        <w:jc w:val="left"/>
        <w:textAlignment w:val="auto"/>
        <w:rPr>
          <w:rFonts w:hint="eastAsia" w:ascii="undefined" w:hAnsi="undefined"/>
          <w:sz w:val="28"/>
          <w:szCs w:val="28"/>
          <w:lang w:val="en-US" w:eastAsia="zh-CN"/>
        </w:rPr>
      </w:pPr>
      <w:r>
        <w:rPr>
          <w:rFonts w:hint="eastAsia" w:ascii="undefined" w:hAnsi="undefined"/>
          <w:sz w:val="28"/>
          <w:szCs w:val="28"/>
          <w:lang w:val="en-US" w:eastAsia="zh-CN"/>
        </w:rPr>
        <w:t>机电办：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641"/>
        <w:jc w:val="left"/>
        <w:textAlignment w:val="auto"/>
        <w:rPr>
          <w:rFonts w:hint="eastAsia" w:ascii="undefined" w:hAnsi="undefined"/>
          <w:sz w:val="28"/>
          <w:szCs w:val="28"/>
          <w:lang w:val="en-US" w:eastAsia="zh-CN"/>
        </w:rPr>
      </w:pPr>
      <w:r>
        <w:rPr>
          <w:rFonts w:hint="eastAsia" w:ascii="undefined" w:hAnsi="undefined"/>
          <w:sz w:val="28"/>
          <w:szCs w:val="28"/>
          <w:lang w:val="en-US" w:eastAsia="zh-CN"/>
        </w:rPr>
        <w:t>机电副总：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auto"/>
        <w:ind w:firstLine="641"/>
        <w:jc w:val="left"/>
        <w:textAlignment w:val="auto"/>
        <w:rPr>
          <w:rFonts w:hint="eastAsia" w:ascii="undefined" w:hAnsi="undefined"/>
          <w:sz w:val="28"/>
          <w:szCs w:val="28"/>
          <w:lang w:val="en-US" w:eastAsia="zh-CN"/>
        </w:rPr>
      </w:pPr>
      <w:r>
        <w:rPr>
          <w:rFonts w:hint="eastAsia" w:ascii="undefined" w:hAnsi="undefined"/>
          <w:sz w:val="28"/>
          <w:szCs w:val="28"/>
          <w:lang w:val="en-US" w:eastAsia="zh-CN"/>
        </w:rPr>
        <w:t>机电矿长：</w:t>
      </w:r>
    </w:p>
    <w:p>
      <w:pPr>
        <w:ind w:firstLine="640"/>
        <w:jc w:val="left"/>
        <w:rPr>
          <w:rFonts w:hint="default" w:ascii="undefined" w:hAnsi="undefined"/>
          <w:sz w:val="28"/>
          <w:szCs w:val="28"/>
          <w:lang w:val="en-US" w:eastAsia="zh-CN"/>
        </w:rPr>
      </w:pPr>
    </w:p>
    <w:p>
      <w:pPr>
        <w:jc w:val="left"/>
        <w:rPr>
          <w:rFonts w:hint="eastAsia"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ab/>
      </w:r>
    </w:p>
    <w:p>
      <w:pPr>
        <w:jc w:val="left"/>
        <w:rPr>
          <w:rFonts w:hint="eastAsia" w:asciiTheme="minorEastAsia" w:hAnsiTheme="minorEastAsia" w:eastAsiaTheme="minorEastAsia"/>
          <w:sz w:val="32"/>
          <w:szCs w:val="32"/>
        </w:rPr>
      </w:pPr>
    </w:p>
    <w:p>
      <w:pPr>
        <w:jc w:val="left"/>
        <w:rPr>
          <w:rFonts w:hint="eastAsia" w:asciiTheme="minorEastAsia" w:hAnsiTheme="minorEastAsia" w:eastAsiaTheme="minorEastAsia"/>
          <w:sz w:val="32"/>
          <w:szCs w:val="32"/>
        </w:rPr>
      </w:pPr>
    </w:p>
    <w:p>
      <w:pPr>
        <w:jc w:val="left"/>
        <w:rPr>
          <w:rFonts w:hint="eastAsia" w:asciiTheme="minorEastAsia" w:hAnsiTheme="minorEastAsia" w:eastAsiaTheme="minorEastAsia"/>
          <w:sz w:val="32"/>
          <w:szCs w:val="32"/>
        </w:rPr>
      </w:pPr>
    </w:p>
    <w:p>
      <w:pPr>
        <w:jc w:val="left"/>
        <w:rPr>
          <w:rFonts w:hint="eastAsia" w:asciiTheme="minorEastAsia" w:hAnsiTheme="minorEastAsia" w:eastAsiaTheme="minorEastAsia"/>
          <w:sz w:val="32"/>
          <w:szCs w:val="32"/>
        </w:rPr>
      </w:pPr>
    </w:p>
    <w:p>
      <w:pPr>
        <w:jc w:val="left"/>
        <w:rPr>
          <w:rFonts w:hint="eastAsia" w:asciiTheme="minorEastAsia" w:hAnsiTheme="minorEastAsia" w:eastAsiaTheme="minorEastAsia"/>
          <w:sz w:val="32"/>
          <w:szCs w:val="32"/>
        </w:rPr>
      </w:pPr>
    </w:p>
    <w:p>
      <w:pPr>
        <w:jc w:val="left"/>
        <w:rPr>
          <w:rFonts w:hint="eastAsia" w:asciiTheme="minorEastAsia" w:hAnsiTheme="minorEastAsia" w:eastAsiaTheme="minorEastAsia"/>
          <w:sz w:val="32"/>
          <w:szCs w:val="32"/>
        </w:rPr>
      </w:pPr>
    </w:p>
    <w:p>
      <w:pPr>
        <w:widowControl/>
        <w:jc w:val="center"/>
        <w:rPr>
          <w:rFonts w:hint="eastAsia" w:ascii="黑体" w:hAnsi="黑体" w:eastAsia="黑体"/>
          <w:sz w:val="36"/>
          <w:szCs w:val="32"/>
          <w:lang w:eastAsia="zh-CN"/>
        </w:rPr>
      </w:pPr>
      <w:bookmarkStart w:id="0" w:name="OLE_LINK2"/>
      <w:r>
        <w:rPr>
          <w:rFonts w:hint="eastAsia" w:ascii="黑体" w:hAnsi="黑体" w:eastAsia="黑体"/>
          <w:sz w:val="36"/>
          <w:szCs w:val="32"/>
        </w:rPr>
        <w:t>北风井燃气锅炉</w:t>
      </w:r>
      <w:r>
        <w:rPr>
          <w:rFonts w:hint="eastAsia" w:ascii="黑体" w:hAnsi="黑体" w:eastAsia="黑体"/>
          <w:sz w:val="36"/>
          <w:szCs w:val="32"/>
          <w:lang w:eastAsia="zh-CN"/>
        </w:rPr>
        <w:t>热交换器维修报价单</w:t>
      </w:r>
    </w:p>
    <w:p>
      <w:pPr>
        <w:widowControl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 w:ascii="Arial" w:hAnsi="Arial" w:cs="Arial"/>
          <w:b/>
          <w:bCs/>
          <w:color w:val="333333"/>
          <w:kern w:val="0"/>
          <w:sz w:val="28"/>
          <w:szCs w:val="28"/>
        </w:rPr>
        <w:t>（不含税、</w:t>
      </w:r>
      <w:r>
        <w:rPr>
          <w:rFonts w:hint="eastAsia" w:ascii="Arial" w:hAnsi="Arial" w:cs="Arial"/>
          <w:b/>
          <w:bCs/>
          <w:color w:val="333333"/>
          <w:kern w:val="0"/>
          <w:sz w:val="28"/>
          <w:szCs w:val="28"/>
          <w:lang w:val="en-US" w:eastAsia="zh-CN"/>
        </w:rPr>
        <w:t>含运费</w:t>
      </w:r>
      <w:r>
        <w:rPr>
          <w:rFonts w:hint="eastAsia" w:ascii="Arial" w:hAnsi="Arial" w:cs="Arial"/>
          <w:b/>
          <w:bCs/>
          <w:color w:val="333333"/>
          <w:kern w:val="0"/>
          <w:sz w:val="28"/>
          <w:szCs w:val="28"/>
        </w:rPr>
        <w:t>）</w:t>
      </w:r>
      <w:bookmarkStart w:id="1" w:name="_GoBack"/>
      <w:bookmarkEnd w:id="1"/>
    </w:p>
    <w:tbl>
      <w:tblPr>
        <w:tblStyle w:val="5"/>
        <w:tblW w:w="81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912"/>
        <w:gridCol w:w="1575"/>
        <w:gridCol w:w="810"/>
        <w:gridCol w:w="720"/>
        <w:gridCol w:w="1200"/>
        <w:gridCol w:w="1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759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912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维 修 项 目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规 格 型 号</w:t>
            </w:r>
          </w:p>
        </w:tc>
        <w:tc>
          <w:tcPr>
            <w:tcW w:w="81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数量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报价</w:t>
            </w:r>
            <w:r>
              <w:rPr>
                <w:rFonts w:hint="eastAsia"/>
                <w:sz w:val="24"/>
                <w:lang w:eastAsia="zh-CN"/>
              </w:rPr>
              <w:t>单价</w:t>
            </w:r>
            <w:r>
              <w:rPr>
                <w:rFonts w:hint="eastAsia"/>
                <w:sz w:val="24"/>
              </w:rPr>
              <w:t>（元）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报价总价（元）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</w:trPr>
        <w:tc>
          <w:tcPr>
            <w:tcW w:w="75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1</w:t>
            </w:r>
          </w:p>
        </w:tc>
        <w:tc>
          <w:tcPr>
            <w:tcW w:w="191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北风井燃气锅炉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热交换器</w:t>
            </w:r>
          </w:p>
        </w:tc>
        <w:tc>
          <w:tcPr>
            <w:tcW w:w="157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BMAHE-800</w:t>
            </w:r>
          </w:p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81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台</w:t>
            </w:r>
          </w:p>
        </w:tc>
        <w:tc>
          <w:tcPr>
            <w:tcW w:w="72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2</w:t>
            </w:r>
          </w:p>
        </w:tc>
        <w:tc>
          <w:tcPr>
            <w:tcW w:w="120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00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7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大写：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开票时税率：</w:t>
            </w:r>
            <w:r>
              <w:rPr>
                <w:b/>
                <w:bCs/>
                <w:sz w:val="24"/>
              </w:rPr>
              <w:softHyphen/>
            </w:r>
            <w:r>
              <w:rPr>
                <w:rFonts w:hint="eastAsia" w:ascii="宋体" w:hAnsi="宋体"/>
                <w:b/>
                <w:bCs/>
                <w:sz w:val="24"/>
              </w:rPr>
              <w:t>＿</w:t>
            </w:r>
            <w:r>
              <w:rPr>
                <w:b/>
                <w:bCs/>
                <w:sz w:val="24"/>
              </w:rPr>
              <w:t>%</w:t>
            </w:r>
          </w:p>
        </w:tc>
      </w:tr>
    </w:tbl>
    <w:p>
      <w:pPr>
        <w:numPr>
          <w:ilvl w:val="0"/>
          <w:numId w:val="2"/>
        </w:numPr>
        <w:tabs>
          <w:tab w:val="left" w:pos="831"/>
        </w:tabs>
        <w:jc w:val="left"/>
        <w:rPr>
          <w:rFonts w:hint="eastAsia" w:ascii="Arial" w:hAnsi="Arial" w:cs="Arial"/>
          <w:color w:val="333333"/>
          <w:kern w:val="0"/>
          <w:sz w:val="28"/>
          <w:szCs w:val="28"/>
          <w:u w:val="single"/>
        </w:rPr>
      </w:pPr>
      <w:r>
        <w:rPr>
          <w:rFonts w:hint="eastAsia" w:ascii="Arial" w:hAnsi="Arial" w:cs="Arial"/>
          <w:color w:val="333333"/>
          <w:kern w:val="0"/>
          <w:sz w:val="28"/>
          <w:szCs w:val="28"/>
          <w:lang w:val="en-US" w:eastAsia="zh-CN"/>
        </w:rPr>
        <w:t>付款</w:t>
      </w:r>
      <w:r>
        <w:rPr>
          <w:rFonts w:hint="eastAsia" w:ascii="Arial" w:hAnsi="Arial" w:cs="Arial"/>
          <w:color w:val="333333"/>
          <w:kern w:val="0"/>
          <w:sz w:val="28"/>
          <w:szCs w:val="28"/>
        </w:rPr>
        <w:t>方式：</w:t>
      </w:r>
      <w:r>
        <w:rPr>
          <w:rFonts w:hint="eastAsia" w:ascii="undefined" w:hAnsi="undefined"/>
          <w:sz w:val="28"/>
          <w:szCs w:val="28"/>
          <w:lang w:val="en-US" w:eastAsia="zh-CN"/>
        </w:rPr>
        <w:t>无预付款，维修完成，经矿方验收合格，维修方开具增值税发票，挂账付款，10%质保金。</w:t>
      </w:r>
    </w:p>
    <w:p>
      <w:pPr>
        <w:numPr>
          <w:ilvl w:val="0"/>
          <w:numId w:val="2"/>
        </w:numPr>
        <w:tabs>
          <w:tab w:val="left" w:pos="831"/>
        </w:tabs>
        <w:jc w:val="left"/>
        <w:rPr>
          <w:rFonts w:hint="eastAsia" w:ascii="Arial" w:hAnsi="Arial" w:cs="Arial"/>
          <w:color w:val="333333"/>
          <w:kern w:val="0"/>
          <w:sz w:val="28"/>
          <w:szCs w:val="28"/>
          <w:u w:val="single"/>
        </w:rPr>
      </w:pPr>
      <w:r>
        <w:rPr>
          <w:rFonts w:hint="eastAsia" w:ascii="undefined" w:hAnsi="undefined"/>
          <w:sz w:val="28"/>
          <w:szCs w:val="28"/>
          <w:lang w:val="en-US" w:eastAsia="zh-CN"/>
        </w:rPr>
        <w:t>维修周期：</w:t>
      </w:r>
    </w:p>
    <w:p>
      <w:pPr>
        <w:numPr>
          <w:ilvl w:val="0"/>
          <w:numId w:val="2"/>
        </w:numPr>
        <w:tabs>
          <w:tab w:val="left" w:pos="831"/>
        </w:tabs>
        <w:jc w:val="left"/>
        <w:rPr>
          <w:rFonts w:hint="eastAsia" w:ascii="Arial" w:hAnsi="Arial" w:cs="Arial"/>
          <w:color w:val="333333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Arial" w:hAnsi="Arial" w:cs="Arial"/>
          <w:color w:val="333333"/>
          <w:kern w:val="0"/>
          <w:sz w:val="28"/>
          <w:szCs w:val="28"/>
          <w:u w:val="none"/>
          <w:lang w:val="en-US" w:eastAsia="zh-CN"/>
        </w:rPr>
        <w:t>单位负责人：                  联系方式：</w:t>
      </w:r>
    </w:p>
    <w:p>
      <w:pPr>
        <w:tabs>
          <w:tab w:val="left" w:pos="831"/>
        </w:tabs>
        <w:ind w:firstLine="964" w:firstLineChars="300"/>
        <w:jc w:val="left"/>
        <w:rPr>
          <w:b/>
          <w:bCs/>
          <w:sz w:val="32"/>
          <w:szCs w:val="32"/>
        </w:rPr>
      </w:pPr>
    </w:p>
    <w:p>
      <w:pPr>
        <w:widowControl/>
        <w:spacing w:line="460" w:lineRule="exact"/>
        <w:jc w:val="left"/>
        <w:rPr>
          <w:rFonts w:ascii="Arial" w:hAnsi="Arial" w:cs="Arial"/>
          <w:b/>
          <w:bCs/>
          <w:color w:val="333333"/>
          <w:kern w:val="0"/>
          <w:sz w:val="28"/>
          <w:szCs w:val="28"/>
        </w:rPr>
      </w:pPr>
    </w:p>
    <w:p>
      <w:pPr>
        <w:widowControl/>
        <w:spacing w:line="460" w:lineRule="exact"/>
        <w:jc w:val="left"/>
        <w:rPr>
          <w:rFonts w:ascii="Arial" w:hAnsi="Arial" w:cs="Arial"/>
          <w:b/>
          <w:bCs/>
          <w:color w:val="333333"/>
          <w:kern w:val="0"/>
          <w:sz w:val="28"/>
          <w:szCs w:val="28"/>
        </w:rPr>
      </w:pPr>
    </w:p>
    <w:p>
      <w:pPr>
        <w:widowControl/>
        <w:spacing w:line="460" w:lineRule="exact"/>
        <w:jc w:val="left"/>
        <w:rPr>
          <w:rFonts w:ascii="Arial" w:hAnsi="Arial" w:cs="Arial"/>
          <w:b/>
          <w:bCs/>
          <w:color w:val="333333"/>
          <w:kern w:val="0"/>
          <w:sz w:val="28"/>
          <w:szCs w:val="28"/>
        </w:rPr>
      </w:pPr>
    </w:p>
    <w:p>
      <w:pPr>
        <w:widowControl/>
        <w:spacing w:line="460" w:lineRule="exact"/>
        <w:ind w:firstLine="562" w:firstLineChars="200"/>
        <w:jc w:val="left"/>
        <w:rPr>
          <w:rFonts w:ascii="Arial" w:hAnsi="Arial" w:cs="Arial"/>
          <w:b/>
          <w:bCs/>
          <w:color w:val="333333"/>
          <w:kern w:val="0"/>
          <w:sz w:val="28"/>
          <w:szCs w:val="28"/>
        </w:rPr>
      </w:pPr>
    </w:p>
    <w:p>
      <w:pPr>
        <w:ind w:firstLine="562" w:firstLineChars="200"/>
        <w:rPr>
          <w:rFonts w:ascii="Arial" w:hAnsi="Arial" w:cs="Arial"/>
          <w:b/>
          <w:bCs/>
          <w:color w:val="333333"/>
          <w:kern w:val="0"/>
          <w:sz w:val="28"/>
          <w:szCs w:val="28"/>
        </w:rPr>
      </w:pPr>
      <w:r>
        <w:rPr>
          <w:rFonts w:ascii="Arial" w:hAnsi="Arial" w:cs="Arial"/>
          <w:b/>
          <w:bCs/>
          <w:color w:val="333333"/>
          <w:kern w:val="0"/>
          <w:sz w:val="28"/>
          <w:szCs w:val="28"/>
        </w:rPr>
        <w:t xml:space="preserve">                                         </w:t>
      </w:r>
    </w:p>
    <w:p>
      <w:pPr>
        <w:ind w:firstLine="562" w:firstLineChars="200"/>
        <w:rPr>
          <w:rFonts w:ascii="Arial" w:hAnsi="Arial" w:cs="Arial"/>
          <w:b/>
          <w:bCs/>
          <w:color w:val="333333"/>
          <w:kern w:val="0"/>
          <w:sz w:val="28"/>
          <w:szCs w:val="28"/>
        </w:rPr>
      </w:pPr>
    </w:p>
    <w:p>
      <w:pPr>
        <w:ind w:firstLine="562" w:firstLineChars="200"/>
        <w:rPr>
          <w:rFonts w:hint="eastAsia" w:ascii="Arial" w:hAnsi="Arial" w:cs="Arial"/>
          <w:b/>
          <w:bCs/>
          <w:color w:val="333333"/>
          <w:kern w:val="0"/>
          <w:sz w:val="28"/>
          <w:szCs w:val="28"/>
          <w:lang w:val="en-US" w:eastAsia="zh-CN"/>
        </w:rPr>
      </w:pPr>
      <w:r>
        <w:rPr>
          <w:rFonts w:hint="eastAsia" w:ascii="Arial" w:hAnsi="Arial" w:cs="Arial"/>
          <w:b/>
          <w:bCs/>
          <w:color w:val="333333"/>
          <w:kern w:val="0"/>
          <w:sz w:val="28"/>
          <w:szCs w:val="28"/>
          <w:lang w:val="en-US" w:eastAsia="zh-CN"/>
        </w:rPr>
        <w:t xml:space="preserve">                                报价单位（盖章）</w:t>
      </w:r>
    </w:p>
    <w:p>
      <w:pPr>
        <w:ind w:firstLine="562" w:firstLineChars="200"/>
        <w:rPr>
          <w:rFonts w:hint="default" w:ascii="Arial" w:hAnsi="Arial" w:cs="Arial"/>
          <w:b/>
          <w:bCs/>
          <w:color w:val="333333"/>
          <w:kern w:val="0"/>
          <w:sz w:val="28"/>
          <w:szCs w:val="28"/>
          <w:lang w:val="en-US" w:eastAsia="zh-CN"/>
        </w:rPr>
      </w:pPr>
      <w:r>
        <w:rPr>
          <w:rFonts w:hint="eastAsia" w:ascii="Arial" w:hAnsi="Arial" w:cs="Arial"/>
          <w:b/>
          <w:bCs/>
          <w:color w:val="333333"/>
          <w:kern w:val="0"/>
          <w:sz w:val="28"/>
          <w:szCs w:val="28"/>
          <w:lang w:val="en-US" w:eastAsia="zh-CN"/>
        </w:rPr>
        <w:t xml:space="preserve">                            2025年     月     日</w:t>
      </w:r>
    </w:p>
    <w:bookmarkEnd w:id="0"/>
    <w:p>
      <w:pPr>
        <w:widowControl/>
        <w:spacing w:line="400" w:lineRule="exact"/>
        <w:jc w:val="left"/>
        <w:rPr>
          <w:rFonts w:hint="eastAsia" w:ascii="Arial" w:hAnsi="Arial" w:cs="Arial"/>
          <w:kern w:val="0"/>
          <w:sz w:val="28"/>
          <w:szCs w:val="28"/>
          <w:lang w:eastAsia="zh-CN" w:bidi="ar"/>
        </w:rPr>
      </w:pPr>
    </w:p>
    <w:p>
      <w:pPr>
        <w:jc w:val="left"/>
        <w:rPr>
          <w:rFonts w:hint="eastAsia" w:asciiTheme="minorEastAsia" w:hAnsiTheme="minorEastAsia" w:eastAsiaTheme="minor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undefined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B1CB0D"/>
    <w:multiLevelType w:val="singleLevel"/>
    <w:tmpl w:val="84B1CB0D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3DA59E1"/>
    <w:multiLevelType w:val="singleLevel"/>
    <w:tmpl w:val="03DA59E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272D4"/>
    <w:rsid w:val="000E571B"/>
    <w:rsid w:val="002272D4"/>
    <w:rsid w:val="003845FE"/>
    <w:rsid w:val="00485FCB"/>
    <w:rsid w:val="004E1B2D"/>
    <w:rsid w:val="00535F78"/>
    <w:rsid w:val="0092387C"/>
    <w:rsid w:val="00A27260"/>
    <w:rsid w:val="00CA019A"/>
    <w:rsid w:val="1AEC1345"/>
    <w:rsid w:val="62BB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宋体" w:eastAsia="宋体" w:cs="宋体"/>
      <w:kern w:val="0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1"/>
    <w:pPr>
      <w:ind w:left="537"/>
    </w:pPr>
    <w:rPr>
      <w:rFonts w:ascii="宋体"/>
      <w:kern w:val="2"/>
      <w:sz w:val="28"/>
      <w:szCs w:val="28"/>
      <w:lang w:val="zh-CN" w:bidi="zh-CN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正文文本 Char"/>
    <w:basedOn w:val="6"/>
    <w:link w:val="2"/>
    <w:qFormat/>
    <w:uiPriority w:val="1"/>
    <w:rPr>
      <w:rFonts w:ascii="宋体" w:hAnsi="宋体" w:eastAsia="宋体" w:cs="宋体"/>
      <w:sz w:val="28"/>
      <w:szCs w:val="2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505</Words>
  <Characters>549</Characters>
  <Lines>4</Lines>
  <Paragraphs>1</Paragraphs>
  <TotalTime>8</TotalTime>
  <ScaleCrop>false</ScaleCrop>
  <LinksUpToDate>false</LinksUpToDate>
  <CharactersWithSpaces>562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2024-09-05T01:52:00Z</dcterms:created>
  <dc:creator>Microsoft</dc:creator>
  <cp:lastModifiedBy>Administrator</cp:lastModifiedBy>
  <dcterms:modified xsi:type="dcterms:W3CDTF">2025-09-22T08:47:16Z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eyJoZGlkIjoiZWEzNmExNjQ4OTUxY2U5MGZmYjg4YTg5MmU2NmRhZmEiLCJ1c2VySWQiOiIxMDczNzQ4OTY3In0=</vt:lpwstr>
  </property>
  <property fmtid="{D5CDD505-2E9C-101B-9397-08002B2CF9AE}" pid="3" name="KSOProductBuildVer">
    <vt:lpwstr>2052-11.8.2.8506</vt:lpwstr>
  </property>
  <property fmtid="{D5CDD505-2E9C-101B-9397-08002B2CF9AE}" pid="4" name="ICV">
    <vt:lpwstr>3CBCEA7BE80D4954943C70C1F226C9C4_12</vt:lpwstr>
  </property>
</Properties>
</file>