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AB2" w:rsidRDefault="002E4E81">
      <w:pPr>
        <w:pStyle w:val="2"/>
        <w:numPr>
          <w:ilvl w:val="0"/>
          <w:numId w:val="0"/>
        </w:numPr>
        <w:tabs>
          <w:tab w:val="left" w:pos="284"/>
        </w:tabs>
        <w:snapToGrid w:val="0"/>
        <w:spacing w:beforeLines="0" w:line="408" w:lineRule="auto"/>
        <w:jc w:val="center"/>
        <w:rPr>
          <w:rFonts w:ascii="方正公文小标宋" w:eastAsia="方正公文小标宋" w:hAnsi="方正公文小标宋" w:cs="方正公文小标宋"/>
          <w:bCs/>
          <w:sz w:val="36"/>
          <w:szCs w:val="36"/>
        </w:rPr>
      </w:pPr>
      <w:r>
        <w:rPr>
          <w:rFonts w:ascii="方正公文小标宋" w:eastAsia="方正公文小标宋" w:hAnsi="方正公文小标宋" w:cs="方正公文小标宋" w:hint="eastAsia"/>
          <w:bCs/>
          <w:sz w:val="36"/>
          <w:szCs w:val="36"/>
        </w:rPr>
        <w:t>招标准备资料</w:t>
      </w:r>
    </w:p>
    <w:p w:rsidR="00BA4AB2" w:rsidRDefault="002E4E81">
      <w:pPr>
        <w:widowControl w:val="0"/>
        <w:adjustRightInd w:val="0"/>
        <w:snapToGrid w:val="0"/>
        <w:spacing w:line="408" w:lineRule="auto"/>
        <w:ind w:firstLine="560"/>
        <w:jc w:val="both"/>
        <w:rPr>
          <w:rFonts w:ascii="黑体" w:eastAsia="黑体" w:hAnsi="黑体" w:cs="黑体"/>
          <w:bCs/>
          <w:color w:val="000000"/>
          <w:kern w:val="2"/>
          <w:sz w:val="28"/>
          <w:szCs w:val="28"/>
        </w:rPr>
      </w:pPr>
      <w:r>
        <w:rPr>
          <w:rFonts w:ascii="黑体" w:eastAsia="黑体" w:hAnsi="黑体" w:cs="黑体" w:hint="eastAsia"/>
          <w:bCs/>
          <w:color w:val="000000"/>
          <w:kern w:val="2"/>
          <w:sz w:val="28"/>
          <w:szCs w:val="28"/>
        </w:rPr>
        <w:t>一、项目概况与招标范围</w:t>
      </w:r>
    </w:p>
    <w:p w:rsidR="00BA4AB2" w:rsidRDefault="002E4E81">
      <w:pPr>
        <w:adjustRightInd w:val="0"/>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项目名称：河北峰煤焦化有限公司污水分盐蒸发零排放项目</w:t>
      </w:r>
      <w:r>
        <w:rPr>
          <w:rFonts w:ascii="仿宋" w:eastAsia="仿宋" w:hAnsi="仿宋" w:cs="仿宋" w:hint="eastAsia"/>
          <w:color w:val="000000"/>
          <w:sz w:val="28"/>
          <w:szCs w:val="28"/>
          <w:lang w:val="zh-CN"/>
        </w:rPr>
        <w:t>水土保持方案</w:t>
      </w:r>
      <w:r>
        <w:rPr>
          <w:rFonts w:ascii="仿宋" w:eastAsia="仿宋" w:hAnsi="仿宋" w:cs="仿宋" w:hint="eastAsia"/>
          <w:color w:val="000000"/>
          <w:sz w:val="28"/>
          <w:szCs w:val="28"/>
        </w:rPr>
        <w:t>编制</w:t>
      </w:r>
      <w:r>
        <w:rPr>
          <w:rFonts w:ascii="仿宋" w:eastAsia="仿宋" w:hAnsi="仿宋" w:cs="仿宋" w:hint="eastAsia"/>
          <w:color w:val="000000"/>
          <w:sz w:val="28"/>
          <w:szCs w:val="28"/>
        </w:rPr>
        <w:t>；</w:t>
      </w:r>
    </w:p>
    <w:p w:rsidR="00BA4AB2" w:rsidRDefault="002E4E81">
      <w:pPr>
        <w:adjustRightInd w:val="0"/>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项目地点：</w:t>
      </w:r>
      <w:r>
        <w:rPr>
          <w:rFonts w:ascii="仿宋" w:eastAsia="仿宋" w:hAnsi="仿宋" w:cs="仿宋" w:hint="eastAsia"/>
          <w:color w:val="000000"/>
          <w:sz w:val="28"/>
          <w:szCs w:val="28"/>
        </w:rPr>
        <w:t>河北省邯郸市峰峰矿区</w:t>
      </w:r>
      <w:r>
        <w:rPr>
          <w:rFonts w:ascii="仿宋" w:eastAsia="仿宋" w:hAnsi="仿宋" w:cs="仿宋" w:hint="eastAsia"/>
          <w:color w:val="000000"/>
          <w:sz w:val="28"/>
          <w:szCs w:val="28"/>
        </w:rPr>
        <w:t>；</w:t>
      </w:r>
    </w:p>
    <w:p w:rsidR="00BA4AB2" w:rsidRDefault="002E4E81">
      <w:pPr>
        <w:widowControl w:val="0"/>
        <w:adjustRightInd w:val="0"/>
        <w:snapToGrid w:val="0"/>
        <w:spacing w:line="408" w:lineRule="auto"/>
        <w:ind w:firstLine="560"/>
        <w:jc w:val="both"/>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服务期限：</w:t>
      </w:r>
      <w:r>
        <w:rPr>
          <w:rFonts w:ascii="仿宋" w:eastAsia="仿宋" w:hAnsi="仿宋" w:cs="仿宋" w:hint="eastAsia"/>
          <w:color w:val="000000"/>
          <w:sz w:val="28"/>
          <w:szCs w:val="28"/>
        </w:rPr>
        <w:t>合同签订后</w:t>
      </w:r>
      <w:r>
        <w:rPr>
          <w:rFonts w:ascii="仿宋" w:eastAsia="仿宋" w:hAnsi="仿宋" w:cs="仿宋" w:hint="eastAsia"/>
          <w:color w:val="000000"/>
          <w:sz w:val="28"/>
          <w:szCs w:val="28"/>
        </w:rPr>
        <w:t>50</w:t>
      </w:r>
      <w:r>
        <w:rPr>
          <w:rFonts w:ascii="仿宋" w:eastAsia="仿宋" w:hAnsi="仿宋" w:cs="仿宋" w:hint="eastAsia"/>
          <w:color w:val="000000"/>
          <w:sz w:val="28"/>
          <w:szCs w:val="28"/>
        </w:rPr>
        <w:t>日内。投标人应按照招标人所属的县有关政府部门时间要求提交水土保持方案及完成相关批复</w:t>
      </w:r>
      <w:r>
        <w:rPr>
          <w:rFonts w:ascii="仿宋" w:eastAsia="仿宋" w:hAnsi="仿宋" w:cs="仿宋" w:hint="eastAsia"/>
          <w:color w:val="000000"/>
          <w:sz w:val="28"/>
          <w:szCs w:val="28"/>
        </w:rPr>
        <w:t>；</w:t>
      </w:r>
    </w:p>
    <w:p w:rsidR="00BA4AB2" w:rsidRDefault="002E4E81">
      <w:pPr>
        <w:adjustRightInd w:val="0"/>
        <w:snapToGrid w:val="0"/>
        <w:spacing w:line="408" w:lineRule="auto"/>
        <w:ind w:firstLine="560"/>
        <w:rPr>
          <w:rFonts w:ascii="仿宋" w:eastAsia="仿宋" w:hAnsi="仿宋" w:cs="仿宋"/>
          <w:color w:val="000000"/>
          <w:sz w:val="28"/>
          <w:szCs w:val="28"/>
          <w:lang w:val="zh-CN"/>
        </w:rPr>
      </w:pPr>
      <w:r>
        <w:rPr>
          <w:rFonts w:ascii="仿宋" w:eastAsia="仿宋" w:hAnsi="仿宋" w:cs="仿宋" w:hint="eastAsia"/>
          <w:color w:val="000000"/>
          <w:sz w:val="28"/>
          <w:szCs w:val="28"/>
        </w:rPr>
        <w:t>4.</w:t>
      </w:r>
      <w:r>
        <w:rPr>
          <w:rFonts w:ascii="仿宋" w:eastAsia="仿宋" w:hAnsi="仿宋" w:cs="仿宋" w:hint="eastAsia"/>
          <w:color w:val="000000"/>
          <w:sz w:val="28"/>
          <w:szCs w:val="28"/>
          <w:lang w:val="zh-CN"/>
        </w:rPr>
        <w:t>招标服务范围：</w:t>
      </w:r>
      <w:r>
        <w:rPr>
          <w:rFonts w:ascii="仿宋" w:eastAsia="仿宋" w:hAnsi="仿宋" w:cs="仿宋" w:hint="eastAsia"/>
          <w:color w:val="000000"/>
          <w:sz w:val="28"/>
          <w:szCs w:val="28"/>
        </w:rPr>
        <w:t>河北峰煤焦化有限公司污水分盐蒸发零排放项目</w:t>
      </w:r>
      <w:r>
        <w:rPr>
          <w:rFonts w:ascii="仿宋" w:eastAsia="仿宋" w:hAnsi="仿宋" w:cs="仿宋" w:hint="eastAsia"/>
          <w:color w:val="000000"/>
          <w:sz w:val="28"/>
          <w:szCs w:val="28"/>
          <w:lang w:val="zh-CN"/>
        </w:rPr>
        <w:t>水土保持方案的材料编写、申报；</w:t>
      </w:r>
    </w:p>
    <w:p w:rsidR="00BA4AB2" w:rsidRDefault="002E4E81">
      <w:pPr>
        <w:adjustRightInd w:val="0"/>
        <w:snapToGrid w:val="0"/>
        <w:spacing w:line="360" w:lineRule="auto"/>
        <w:ind w:firstLine="560"/>
        <w:rPr>
          <w:rFonts w:ascii="仿宋" w:eastAsia="仿宋" w:hAnsi="仿宋" w:cs="仿宋"/>
          <w:color w:val="000000"/>
          <w:sz w:val="28"/>
          <w:szCs w:val="28"/>
        </w:rPr>
      </w:pPr>
      <w:r>
        <w:rPr>
          <w:rFonts w:ascii="仿宋" w:eastAsia="仿宋" w:hAnsi="仿宋" w:cs="仿宋" w:hint="eastAsia"/>
          <w:color w:val="000000"/>
          <w:sz w:val="28"/>
          <w:szCs w:val="28"/>
        </w:rPr>
        <w:t>5</w:t>
      </w:r>
      <w:r>
        <w:rPr>
          <w:rFonts w:ascii="仿宋" w:eastAsia="仿宋" w:hAnsi="仿宋" w:cs="仿宋" w:hint="eastAsia"/>
          <w:color w:val="000000"/>
          <w:sz w:val="28"/>
          <w:szCs w:val="28"/>
        </w:rPr>
        <w:t>.</w:t>
      </w:r>
      <w:r>
        <w:rPr>
          <w:rFonts w:ascii="仿宋" w:eastAsia="仿宋" w:hAnsi="仿宋" w:cs="仿宋" w:hint="eastAsia"/>
          <w:color w:val="000000"/>
          <w:sz w:val="28"/>
          <w:szCs w:val="28"/>
        </w:rPr>
        <w:t>质量目标：符合行业标准及相关国家法律、法规及标准要求，且满足招标人需求，最终目标是完成水土保持方案、通过专家审查会、通过相关审批部门批准</w:t>
      </w:r>
      <w:r>
        <w:rPr>
          <w:rFonts w:ascii="仿宋" w:eastAsia="仿宋" w:hAnsi="仿宋" w:cs="仿宋" w:hint="eastAsia"/>
          <w:color w:val="000000"/>
          <w:sz w:val="28"/>
          <w:szCs w:val="28"/>
        </w:rPr>
        <w:t>。</w:t>
      </w:r>
    </w:p>
    <w:p w:rsidR="00BA4AB2" w:rsidRDefault="002E4E81">
      <w:pPr>
        <w:widowControl w:val="0"/>
        <w:adjustRightInd w:val="0"/>
        <w:snapToGrid w:val="0"/>
        <w:spacing w:line="408" w:lineRule="auto"/>
        <w:ind w:firstLine="560"/>
        <w:jc w:val="both"/>
        <w:rPr>
          <w:rFonts w:ascii="黑体" w:eastAsia="黑体" w:hAnsi="黑体" w:cs="黑体"/>
          <w:bCs/>
          <w:color w:val="000000"/>
          <w:kern w:val="2"/>
          <w:sz w:val="28"/>
          <w:szCs w:val="28"/>
        </w:rPr>
      </w:pPr>
      <w:r>
        <w:rPr>
          <w:rFonts w:ascii="黑体" w:eastAsia="黑体" w:hAnsi="黑体" w:cs="黑体" w:hint="eastAsia"/>
          <w:bCs/>
          <w:color w:val="000000"/>
          <w:kern w:val="2"/>
          <w:sz w:val="28"/>
          <w:szCs w:val="28"/>
        </w:rPr>
        <w:t>二、</w:t>
      </w:r>
      <w:r>
        <w:rPr>
          <w:rFonts w:ascii="黑体" w:eastAsia="黑体" w:hAnsi="黑体" w:cs="黑体" w:hint="eastAsia"/>
          <w:bCs/>
          <w:color w:val="000000"/>
          <w:kern w:val="2"/>
          <w:sz w:val="28"/>
          <w:szCs w:val="28"/>
        </w:rPr>
        <w:t>编制依据</w:t>
      </w:r>
    </w:p>
    <w:p w:rsidR="00BA4AB2" w:rsidRDefault="002E4E81">
      <w:pPr>
        <w:widowControl w:val="0"/>
        <w:adjustRightInd w:val="0"/>
        <w:snapToGrid w:val="0"/>
        <w:spacing w:line="360" w:lineRule="auto"/>
        <w:ind w:firstLine="560"/>
        <w:jc w:val="both"/>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w:t>
      </w:r>
      <w:r>
        <w:rPr>
          <w:rFonts w:ascii="仿宋" w:eastAsia="仿宋" w:hAnsi="仿宋" w:cs="仿宋" w:hint="eastAsia"/>
          <w:color w:val="000000"/>
          <w:sz w:val="28"/>
          <w:szCs w:val="28"/>
        </w:rPr>
        <w:t>《河北省生产建设项目水土保持方案管理办法》明确生产建设项目编制水土保持方案分为报告书和报告表两类，征占地面积</w:t>
      </w:r>
      <w:r>
        <w:rPr>
          <w:rFonts w:ascii="仿宋" w:eastAsia="仿宋" w:hAnsi="仿宋" w:cs="仿宋" w:hint="eastAsia"/>
          <w:color w:val="000000"/>
          <w:sz w:val="28"/>
          <w:szCs w:val="28"/>
        </w:rPr>
        <w:t>5</w:t>
      </w:r>
      <w:r>
        <w:rPr>
          <w:rFonts w:ascii="仿宋" w:eastAsia="仿宋" w:hAnsi="仿宋" w:cs="仿宋" w:hint="eastAsia"/>
          <w:color w:val="000000"/>
          <w:sz w:val="28"/>
          <w:szCs w:val="28"/>
        </w:rPr>
        <w:t>公顷以上或者挖填土石方总量</w:t>
      </w:r>
      <w:r>
        <w:rPr>
          <w:rFonts w:ascii="仿宋" w:eastAsia="仿宋" w:hAnsi="仿宋" w:cs="仿宋" w:hint="eastAsia"/>
          <w:color w:val="000000"/>
          <w:sz w:val="28"/>
          <w:szCs w:val="28"/>
        </w:rPr>
        <w:t>5</w:t>
      </w:r>
      <w:r>
        <w:rPr>
          <w:rFonts w:ascii="仿宋" w:eastAsia="仿宋" w:hAnsi="仿宋" w:cs="仿宋" w:hint="eastAsia"/>
          <w:color w:val="000000"/>
          <w:sz w:val="28"/>
          <w:szCs w:val="28"/>
        </w:rPr>
        <w:t>万立方米以上的生产建设项目，应当编制水土保持方案报告书</w:t>
      </w:r>
      <w:r>
        <w:rPr>
          <w:rFonts w:ascii="仿宋" w:eastAsia="仿宋" w:hAnsi="仿宋" w:cs="仿宋" w:hint="eastAsia"/>
          <w:color w:val="000000"/>
          <w:sz w:val="28"/>
          <w:szCs w:val="28"/>
        </w:rPr>
        <w:t>;</w:t>
      </w:r>
      <w:r>
        <w:rPr>
          <w:rFonts w:ascii="仿宋" w:eastAsia="仿宋" w:hAnsi="仿宋" w:cs="仿宋" w:hint="eastAsia"/>
          <w:color w:val="000000"/>
          <w:sz w:val="28"/>
          <w:szCs w:val="28"/>
        </w:rPr>
        <w:t>征占地面积</w:t>
      </w:r>
      <w:r>
        <w:rPr>
          <w:rFonts w:ascii="仿宋" w:eastAsia="仿宋" w:hAnsi="仿宋" w:cs="仿宋" w:hint="eastAsia"/>
          <w:color w:val="000000"/>
          <w:sz w:val="28"/>
          <w:szCs w:val="28"/>
        </w:rPr>
        <w:t>0.5</w:t>
      </w:r>
      <w:r>
        <w:rPr>
          <w:rFonts w:ascii="仿宋" w:eastAsia="仿宋" w:hAnsi="仿宋" w:cs="仿宋" w:hint="eastAsia"/>
          <w:color w:val="000000"/>
          <w:sz w:val="28"/>
          <w:szCs w:val="28"/>
        </w:rPr>
        <w:t>公顷以上、不足</w:t>
      </w:r>
      <w:r>
        <w:rPr>
          <w:rFonts w:ascii="仿宋" w:eastAsia="仿宋" w:hAnsi="仿宋" w:cs="仿宋" w:hint="eastAsia"/>
          <w:color w:val="000000"/>
          <w:sz w:val="28"/>
          <w:szCs w:val="28"/>
        </w:rPr>
        <w:t>5</w:t>
      </w:r>
      <w:r>
        <w:rPr>
          <w:rFonts w:ascii="仿宋" w:eastAsia="仿宋" w:hAnsi="仿宋" w:cs="仿宋" w:hint="eastAsia"/>
          <w:color w:val="000000"/>
          <w:sz w:val="28"/>
          <w:szCs w:val="28"/>
        </w:rPr>
        <w:t>公顷或者挖填土石方总量</w:t>
      </w:r>
      <w:r>
        <w:rPr>
          <w:rFonts w:ascii="仿宋" w:eastAsia="仿宋" w:hAnsi="仿宋" w:cs="仿宋" w:hint="eastAsia"/>
          <w:color w:val="000000"/>
          <w:sz w:val="28"/>
          <w:szCs w:val="28"/>
        </w:rPr>
        <w:t>1000</w:t>
      </w:r>
      <w:r>
        <w:rPr>
          <w:rFonts w:ascii="仿宋" w:eastAsia="仿宋" w:hAnsi="仿宋" w:cs="仿宋" w:hint="eastAsia"/>
          <w:color w:val="000000"/>
          <w:sz w:val="28"/>
          <w:szCs w:val="28"/>
        </w:rPr>
        <w:t>立方米以上、不足</w:t>
      </w:r>
      <w:r>
        <w:rPr>
          <w:rFonts w:ascii="仿宋" w:eastAsia="仿宋" w:hAnsi="仿宋" w:cs="仿宋" w:hint="eastAsia"/>
          <w:color w:val="000000"/>
          <w:sz w:val="28"/>
          <w:szCs w:val="28"/>
        </w:rPr>
        <w:t>5</w:t>
      </w:r>
      <w:r>
        <w:rPr>
          <w:rFonts w:ascii="仿宋" w:eastAsia="仿宋" w:hAnsi="仿宋" w:cs="仿宋" w:hint="eastAsia"/>
          <w:color w:val="000000"/>
          <w:sz w:val="28"/>
          <w:szCs w:val="28"/>
        </w:rPr>
        <w:t>万立方米的生产建设项目，应当编制水土保持方案报告表</w:t>
      </w:r>
      <w:r>
        <w:rPr>
          <w:rFonts w:ascii="仿宋" w:eastAsia="仿宋" w:hAnsi="仿宋" w:cs="仿宋" w:hint="eastAsia"/>
          <w:color w:val="000000"/>
          <w:sz w:val="28"/>
          <w:szCs w:val="28"/>
        </w:rPr>
        <w:t>;</w:t>
      </w:r>
      <w:r>
        <w:rPr>
          <w:rFonts w:ascii="仿宋" w:eastAsia="仿宋" w:hAnsi="仿宋" w:cs="仿宋" w:hint="eastAsia"/>
          <w:color w:val="000000"/>
          <w:sz w:val="28"/>
          <w:szCs w:val="28"/>
        </w:rPr>
        <w:t>征占地面积不足</w:t>
      </w:r>
      <w:r>
        <w:rPr>
          <w:rFonts w:ascii="仿宋" w:eastAsia="仿宋" w:hAnsi="仿宋" w:cs="仿宋" w:hint="eastAsia"/>
          <w:color w:val="000000"/>
          <w:sz w:val="28"/>
          <w:szCs w:val="28"/>
        </w:rPr>
        <w:t>0.5</w:t>
      </w:r>
      <w:r>
        <w:rPr>
          <w:rFonts w:ascii="仿宋" w:eastAsia="仿宋" w:hAnsi="仿宋" w:cs="仿宋" w:hint="eastAsia"/>
          <w:color w:val="000000"/>
          <w:sz w:val="28"/>
          <w:szCs w:val="28"/>
        </w:rPr>
        <w:t>公顷并且挖填土石方总量不足</w:t>
      </w:r>
      <w:r>
        <w:rPr>
          <w:rFonts w:ascii="仿宋" w:eastAsia="仿宋" w:hAnsi="仿宋" w:cs="仿宋" w:hint="eastAsia"/>
          <w:color w:val="000000"/>
          <w:sz w:val="28"/>
          <w:szCs w:val="28"/>
        </w:rPr>
        <w:t>1000</w:t>
      </w:r>
      <w:r>
        <w:rPr>
          <w:rFonts w:ascii="仿宋" w:eastAsia="仿宋" w:hAnsi="仿宋" w:cs="仿宋" w:hint="eastAsia"/>
          <w:color w:val="000000"/>
          <w:sz w:val="28"/>
          <w:szCs w:val="28"/>
        </w:rPr>
        <w:t>立方米的生产建设项目，不需要编制水土保持方案，但应当按照水土保持有关技术标准做好水土流失防治工作。</w:t>
      </w:r>
    </w:p>
    <w:p w:rsidR="00BA4AB2" w:rsidRDefault="00BA4AB2">
      <w:pPr>
        <w:widowControl w:val="0"/>
        <w:adjustRightInd w:val="0"/>
        <w:snapToGrid w:val="0"/>
        <w:spacing w:line="360" w:lineRule="auto"/>
        <w:ind w:firstLineChars="0" w:firstLine="0"/>
        <w:jc w:val="both"/>
        <w:rPr>
          <w:rFonts w:ascii="仿宋" w:eastAsia="仿宋" w:hAnsi="仿宋" w:cs="仿宋"/>
          <w:color w:val="000000"/>
          <w:sz w:val="28"/>
          <w:szCs w:val="28"/>
        </w:rPr>
        <w:sectPr w:rsidR="00BA4AB2">
          <w:pgSz w:w="11906" w:h="16838"/>
          <w:pgMar w:top="1440" w:right="1800" w:bottom="1440" w:left="1800" w:header="851" w:footer="992" w:gutter="0"/>
          <w:cols w:space="425"/>
          <w:docGrid w:type="lines" w:linePitch="312"/>
        </w:sectPr>
      </w:pPr>
    </w:p>
    <w:p w:rsidR="00BA4AB2" w:rsidRDefault="002E4E81">
      <w:pPr>
        <w:widowControl w:val="0"/>
        <w:adjustRightInd w:val="0"/>
        <w:snapToGrid w:val="0"/>
        <w:spacing w:line="360" w:lineRule="auto"/>
        <w:ind w:firstLine="560"/>
        <w:jc w:val="both"/>
        <w:rPr>
          <w:rFonts w:ascii="仿宋" w:eastAsia="仿宋" w:hAnsi="仿宋" w:cs="仿宋"/>
          <w:color w:val="000000"/>
          <w:sz w:val="28"/>
          <w:szCs w:val="28"/>
        </w:rPr>
      </w:pPr>
      <w:r>
        <w:rPr>
          <w:rFonts w:ascii="仿宋" w:eastAsia="仿宋" w:hAnsi="仿宋" w:cs="仿宋" w:hint="eastAsia"/>
          <w:color w:val="000000"/>
          <w:sz w:val="28"/>
          <w:szCs w:val="28"/>
        </w:rPr>
        <w:lastRenderedPageBreak/>
        <w:t>2</w:t>
      </w:r>
      <w:r>
        <w:rPr>
          <w:rFonts w:ascii="仿宋" w:eastAsia="仿宋" w:hAnsi="仿宋" w:cs="仿宋" w:hint="eastAsia"/>
          <w:color w:val="000000"/>
          <w:sz w:val="28"/>
          <w:szCs w:val="28"/>
        </w:rPr>
        <w:t>、</w:t>
      </w:r>
      <w:r>
        <w:rPr>
          <w:rFonts w:ascii="仿宋" w:eastAsia="仿宋" w:hAnsi="仿宋" w:cs="仿宋" w:hint="eastAsia"/>
          <w:color w:val="000000"/>
          <w:sz w:val="28"/>
          <w:szCs w:val="28"/>
        </w:rPr>
        <w:t>河北峰煤焦化有限公司污水分盐蒸发零排放项目</w:t>
      </w:r>
      <w:r>
        <w:rPr>
          <w:rFonts w:ascii="仿宋" w:eastAsia="仿宋" w:hAnsi="仿宋" w:cs="仿宋" w:hint="eastAsia"/>
          <w:color w:val="000000"/>
          <w:sz w:val="28"/>
          <w:szCs w:val="28"/>
        </w:rPr>
        <w:t>位于峰峰矿区，占地面积超</w:t>
      </w:r>
      <w:r>
        <w:rPr>
          <w:rFonts w:ascii="仿宋" w:eastAsia="仿宋" w:hAnsi="仿宋" w:cs="仿宋" w:hint="eastAsia"/>
          <w:color w:val="000000"/>
          <w:sz w:val="28"/>
          <w:szCs w:val="28"/>
        </w:rPr>
        <w:t>0.5hm</w:t>
      </w:r>
      <w:r>
        <w:rPr>
          <w:rFonts w:ascii="仿宋" w:eastAsia="仿宋" w:hAnsi="仿宋" w:cs="仿宋" w:hint="eastAsia"/>
          <w:color w:val="000000"/>
          <w:sz w:val="28"/>
          <w:szCs w:val="28"/>
          <w:vertAlign w:val="superscript"/>
        </w:rPr>
        <w:t>2</w:t>
      </w:r>
      <w:r>
        <w:rPr>
          <w:rFonts w:ascii="仿宋" w:eastAsia="仿宋" w:hAnsi="仿宋" w:cs="仿宋" w:hint="eastAsia"/>
          <w:color w:val="000000"/>
          <w:sz w:val="28"/>
          <w:szCs w:val="28"/>
        </w:rPr>
        <w:t>且挖方超</w:t>
      </w:r>
      <w:r>
        <w:rPr>
          <w:rFonts w:ascii="仿宋" w:eastAsia="仿宋" w:hAnsi="仿宋" w:cs="仿宋" w:hint="eastAsia"/>
          <w:color w:val="000000"/>
          <w:sz w:val="28"/>
          <w:szCs w:val="28"/>
        </w:rPr>
        <w:t>1000m</w:t>
      </w:r>
      <w:r>
        <w:rPr>
          <w:rFonts w:ascii="仿宋" w:eastAsia="仿宋" w:hAnsi="仿宋" w:cs="仿宋" w:hint="eastAsia"/>
          <w:color w:val="000000"/>
          <w:sz w:val="28"/>
          <w:szCs w:val="28"/>
          <w:vertAlign w:val="superscript"/>
        </w:rPr>
        <w:t>3</w:t>
      </w:r>
      <w:r>
        <w:rPr>
          <w:rFonts w:ascii="仿宋" w:eastAsia="仿宋" w:hAnsi="仿宋" w:cs="仿宋" w:hint="eastAsia"/>
          <w:color w:val="000000"/>
          <w:sz w:val="28"/>
          <w:szCs w:val="28"/>
        </w:rPr>
        <w:t>，根据</w:t>
      </w:r>
      <w:r>
        <w:rPr>
          <w:rFonts w:ascii="仿宋" w:eastAsia="仿宋" w:hAnsi="仿宋" w:cs="仿宋" w:hint="eastAsia"/>
          <w:color w:val="000000"/>
          <w:sz w:val="28"/>
          <w:szCs w:val="28"/>
        </w:rPr>
        <w:t>《管理办法》</w:t>
      </w:r>
      <w:r>
        <w:rPr>
          <w:rFonts w:ascii="仿宋" w:eastAsia="仿宋" w:hAnsi="仿宋" w:cs="仿宋" w:hint="eastAsia"/>
          <w:color w:val="000000"/>
          <w:sz w:val="28"/>
          <w:szCs w:val="28"/>
        </w:rPr>
        <w:t>“</w:t>
      </w:r>
      <w:r>
        <w:rPr>
          <w:rFonts w:ascii="仿宋" w:eastAsia="仿宋" w:hAnsi="仿宋" w:cs="仿宋" w:hint="eastAsia"/>
          <w:color w:val="000000"/>
          <w:sz w:val="28"/>
          <w:szCs w:val="28"/>
        </w:rPr>
        <w:t>征占地面积</w:t>
      </w:r>
      <w:r>
        <w:rPr>
          <w:rFonts w:ascii="仿宋" w:eastAsia="仿宋" w:hAnsi="仿宋" w:cs="仿宋" w:hint="eastAsia"/>
          <w:color w:val="000000"/>
          <w:sz w:val="28"/>
          <w:szCs w:val="28"/>
        </w:rPr>
        <w:t>0.5</w:t>
      </w:r>
      <w:r>
        <w:rPr>
          <w:rFonts w:ascii="仿宋" w:eastAsia="仿宋" w:hAnsi="仿宋" w:cs="仿宋" w:hint="eastAsia"/>
          <w:color w:val="000000"/>
          <w:sz w:val="28"/>
          <w:szCs w:val="28"/>
        </w:rPr>
        <w:t>公顷以上、不足</w:t>
      </w:r>
      <w:r>
        <w:rPr>
          <w:rFonts w:ascii="仿宋" w:eastAsia="仿宋" w:hAnsi="仿宋" w:cs="仿宋" w:hint="eastAsia"/>
          <w:color w:val="000000"/>
          <w:sz w:val="28"/>
          <w:szCs w:val="28"/>
        </w:rPr>
        <w:t>5</w:t>
      </w:r>
      <w:r>
        <w:rPr>
          <w:rFonts w:ascii="仿宋" w:eastAsia="仿宋" w:hAnsi="仿宋" w:cs="仿宋" w:hint="eastAsia"/>
          <w:color w:val="000000"/>
          <w:sz w:val="28"/>
          <w:szCs w:val="28"/>
        </w:rPr>
        <w:t>公顷或者挖填土石方总量</w:t>
      </w:r>
      <w:r>
        <w:rPr>
          <w:rFonts w:ascii="仿宋" w:eastAsia="仿宋" w:hAnsi="仿宋" w:cs="仿宋" w:hint="eastAsia"/>
          <w:color w:val="000000"/>
          <w:sz w:val="28"/>
          <w:szCs w:val="28"/>
        </w:rPr>
        <w:t>1000</w:t>
      </w:r>
      <w:r>
        <w:rPr>
          <w:rFonts w:ascii="仿宋" w:eastAsia="仿宋" w:hAnsi="仿宋" w:cs="仿宋" w:hint="eastAsia"/>
          <w:color w:val="000000"/>
          <w:sz w:val="28"/>
          <w:szCs w:val="28"/>
        </w:rPr>
        <w:t>立方米以上、不足</w:t>
      </w:r>
      <w:r>
        <w:rPr>
          <w:rFonts w:ascii="仿宋" w:eastAsia="仿宋" w:hAnsi="仿宋" w:cs="仿宋" w:hint="eastAsia"/>
          <w:color w:val="000000"/>
          <w:sz w:val="28"/>
          <w:szCs w:val="28"/>
        </w:rPr>
        <w:t>5</w:t>
      </w:r>
      <w:r>
        <w:rPr>
          <w:rFonts w:ascii="仿宋" w:eastAsia="仿宋" w:hAnsi="仿宋" w:cs="仿宋" w:hint="eastAsia"/>
          <w:color w:val="000000"/>
          <w:sz w:val="28"/>
          <w:szCs w:val="28"/>
        </w:rPr>
        <w:t>万立方米的生产建设项目</w:t>
      </w:r>
      <w:r>
        <w:rPr>
          <w:rFonts w:ascii="仿宋" w:eastAsia="仿宋" w:hAnsi="仿宋" w:cs="仿宋" w:hint="eastAsia"/>
          <w:color w:val="000000"/>
          <w:sz w:val="28"/>
          <w:szCs w:val="28"/>
        </w:rPr>
        <w:t>”</w:t>
      </w:r>
      <w:r>
        <w:rPr>
          <w:rFonts w:ascii="仿宋" w:eastAsia="仿宋" w:hAnsi="仿宋" w:cs="仿宋" w:hint="eastAsia"/>
          <w:color w:val="000000"/>
          <w:sz w:val="28"/>
          <w:szCs w:val="28"/>
        </w:rPr>
        <w:t>，</w:t>
      </w:r>
      <w:r>
        <w:rPr>
          <w:rFonts w:ascii="仿宋" w:eastAsia="仿宋" w:hAnsi="仿宋" w:cs="仿宋" w:hint="eastAsia"/>
          <w:color w:val="000000"/>
          <w:sz w:val="28"/>
          <w:szCs w:val="28"/>
        </w:rPr>
        <w:t>确定</w:t>
      </w:r>
      <w:r>
        <w:rPr>
          <w:rFonts w:ascii="仿宋" w:eastAsia="仿宋" w:hAnsi="仿宋" w:cs="仿宋" w:hint="eastAsia"/>
          <w:color w:val="000000"/>
          <w:sz w:val="28"/>
          <w:szCs w:val="28"/>
        </w:rPr>
        <w:t>应当编制水土保持方案报告表</w:t>
      </w:r>
      <w:r>
        <w:rPr>
          <w:rFonts w:ascii="仿宋" w:eastAsia="仿宋" w:hAnsi="仿宋" w:cs="仿宋" w:hint="eastAsia"/>
          <w:color w:val="000000"/>
          <w:sz w:val="28"/>
          <w:szCs w:val="28"/>
        </w:rPr>
        <w:t>。</w:t>
      </w:r>
    </w:p>
    <w:p w:rsidR="00BA4AB2" w:rsidRDefault="002E4E81">
      <w:pPr>
        <w:widowControl w:val="0"/>
        <w:adjustRightInd w:val="0"/>
        <w:snapToGrid w:val="0"/>
        <w:spacing w:line="360" w:lineRule="auto"/>
        <w:ind w:firstLine="560"/>
        <w:jc w:val="both"/>
        <w:rPr>
          <w:rFonts w:ascii="仿宋" w:eastAsia="仿宋" w:hAnsi="仿宋" w:cs="仿宋"/>
          <w:sz w:val="28"/>
          <w:szCs w:val="28"/>
          <w:highlight w:val="yellow"/>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、本项目建设内容需委托</w:t>
      </w:r>
      <w:r>
        <w:rPr>
          <w:rFonts w:ascii="仿宋" w:eastAsia="仿宋" w:hAnsi="仿宋" w:cs="仿宋" w:hint="eastAsia"/>
          <w:color w:val="000000"/>
          <w:sz w:val="28"/>
          <w:szCs w:val="28"/>
          <w:lang w:val="zh-CN"/>
        </w:rPr>
        <w:t>第三方机构依据招标人的</w:t>
      </w:r>
      <w:r>
        <w:rPr>
          <w:rFonts w:ascii="仿宋" w:eastAsia="仿宋" w:hAnsi="仿宋" w:cs="仿宋" w:hint="eastAsia"/>
          <w:color w:val="000000"/>
          <w:sz w:val="28"/>
          <w:szCs w:val="28"/>
        </w:rPr>
        <w:t>项目位置</w:t>
      </w:r>
      <w:r>
        <w:rPr>
          <w:rFonts w:ascii="仿宋" w:eastAsia="仿宋" w:hAnsi="仿宋" w:cs="仿宋" w:hint="eastAsia"/>
          <w:color w:val="000000"/>
          <w:sz w:val="28"/>
          <w:szCs w:val="28"/>
          <w:lang w:val="zh-CN"/>
        </w:rPr>
        <w:t>、</w:t>
      </w:r>
      <w:r>
        <w:rPr>
          <w:rFonts w:ascii="仿宋" w:eastAsia="仿宋" w:hAnsi="仿宋" w:cs="仿宋" w:hint="eastAsia"/>
          <w:color w:val="000000"/>
          <w:sz w:val="28"/>
          <w:szCs w:val="28"/>
        </w:rPr>
        <w:t>水土流失现状</w:t>
      </w:r>
      <w:r>
        <w:rPr>
          <w:rFonts w:ascii="仿宋" w:eastAsia="仿宋" w:hAnsi="仿宋" w:cs="仿宋" w:hint="eastAsia"/>
          <w:color w:val="000000"/>
          <w:sz w:val="28"/>
          <w:szCs w:val="28"/>
          <w:lang w:val="zh-CN"/>
        </w:rPr>
        <w:t>、</w:t>
      </w:r>
      <w:r>
        <w:rPr>
          <w:rFonts w:ascii="仿宋" w:eastAsia="仿宋" w:hAnsi="仿宋" w:cs="仿宋" w:hint="eastAsia"/>
          <w:color w:val="000000"/>
          <w:sz w:val="28"/>
          <w:szCs w:val="28"/>
        </w:rPr>
        <w:t>水土流失预防和治理范围、治理目标，</w:t>
      </w:r>
      <w:r>
        <w:rPr>
          <w:rFonts w:ascii="仿宋" w:eastAsia="仿宋" w:hAnsi="仿宋" w:cs="仿宋" w:hint="eastAsia"/>
          <w:color w:val="000000"/>
          <w:sz w:val="28"/>
          <w:szCs w:val="28"/>
          <w:lang w:val="zh-CN"/>
        </w:rPr>
        <w:t>根据国家的相关法律法规及标准、</w:t>
      </w:r>
      <w:r>
        <w:rPr>
          <w:rFonts w:ascii="仿宋" w:eastAsia="仿宋" w:hAnsi="仿宋" w:cs="仿宋" w:hint="eastAsia"/>
          <w:color w:val="000000"/>
          <w:sz w:val="28"/>
          <w:szCs w:val="28"/>
        </w:rPr>
        <w:t>踏勘勘测</w:t>
      </w:r>
      <w:r>
        <w:rPr>
          <w:rFonts w:ascii="仿宋" w:eastAsia="仿宋" w:hAnsi="仿宋" w:cs="仿宋" w:hint="eastAsia"/>
          <w:color w:val="000000"/>
          <w:sz w:val="28"/>
          <w:szCs w:val="28"/>
          <w:lang w:val="zh-CN"/>
        </w:rPr>
        <w:t>、搜集资料、</w:t>
      </w:r>
      <w:r>
        <w:rPr>
          <w:rFonts w:ascii="仿宋" w:eastAsia="仿宋" w:hAnsi="仿宋" w:cs="仿宋" w:hint="eastAsia"/>
          <w:color w:val="000000"/>
          <w:sz w:val="28"/>
          <w:szCs w:val="28"/>
        </w:rPr>
        <w:t>依据水土保持编制大纲要求编制水土保持方案，</w:t>
      </w:r>
      <w:r>
        <w:rPr>
          <w:rFonts w:ascii="仿宋" w:eastAsia="仿宋" w:hAnsi="仿宋" w:cs="仿宋" w:hint="eastAsia"/>
          <w:color w:val="000000"/>
          <w:sz w:val="28"/>
          <w:szCs w:val="28"/>
        </w:rPr>
        <w:t>应当包括水土流失预防和治理范围、治理目标、采取措施和投资等内容</w:t>
      </w:r>
      <w:r>
        <w:rPr>
          <w:rFonts w:ascii="仿宋" w:eastAsia="仿宋" w:hAnsi="仿宋" w:cs="仿宋" w:hint="eastAsia"/>
          <w:color w:val="000000"/>
          <w:sz w:val="28"/>
          <w:szCs w:val="28"/>
        </w:rPr>
        <w:t>，</w:t>
      </w:r>
      <w:r>
        <w:rPr>
          <w:rFonts w:ascii="仿宋" w:eastAsia="仿宋" w:hAnsi="仿宋" w:cs="仿宋" w:hint="eastAsia"/>
          <w:sz w:val="28"/>
          <w:szCs w:val="28"/>
        </w:rPr>
        <w:t>并将通过专家评审的水土保持方案递交至</w:t>
      </w:r>
      <w:r>
        <w:rPr>
          <w:rFonts w:ascii="仿宋" w:eastAsia="仿宋" w:hAnsi="仿宋" w:cs="仿宋" w:hint="eastAsia"/>
          <w:sz w:val="28"/>
          <w:szCs w:val="28"/>
        </w:rPr>
        <w:t>行政</w:t>
      </w:r>
      <w:r>
        <w:rPr>
          <w:rFonts w:ascii="仿宋" w:eastAsia="仿宋" w:hAnsi="仿宋" w:cs="仿宋" w:hint="eastAsia"/>
          <w:sz w:val="28"/>
          <w:szCs w:val="28"/>
        </w:rPr>
        <w:t>审批局，且通过审批部门审批。</w:t>
      </w:r>
    </w:p>
    <w:p w:rsidR="00BA4AB2" w:rsidRDefault="002E4E81">
      <w:pPr>
        <w:widowControl w:val="0"/>
        <w:adjustRightInd w:val="0"/>
        <w:snapToGrid w:val="0"/>
        <w:spacing w:line="408" w:lineRule="auto"/>
        <w:ind w:firstLine="560"/>
        <w:jc w:val="both"/>
        <w:rPr>
          <w:rFonts w:ascii="黑体" w:eastAsia="黑体" w:hAnsi="黑体" w:cs="黑体"/>
          <w:bCs/>
          <w:color w:val="000000"/>
          <w:kern w:val="2"/>
          <w:sz w:val="28"/>
          <w:szCs w:val="28"/>
        </w:rPr>
      </w:pPr>
      <w:bookmarkStart w:id="0" w:name="_Toc29645"/>
      <w:bookmarkStart w:id="1" w:name="_Toc523317426"/>
      <w:r>
        <w:rPr>
          <w:rFonts w:ascii="黑体" w:eastAsia="黑体" w:hAnsi="黑体" w:cs="黑体" w:hint="eastAsia"/>
          <w:bCs/>
          <w:color w:val="000000"/>
          <w:kern w:val="2"/>
          <w:sz w:val="28"/>
          <w:szCs w:val="28"/>
        </w:rPr>
        <w:t>三、投标人资格要求</w:t>
      </w:r>
      <w:bookmarkEnd w:id="0"/>
      <w:bookmarkEnd w:id="1"/>
    </w:p>
    <w:p w:rsidR="00BA4AB2" w:rsidRDefault="002E4E81">
      <w:pPr>
        <w:adjustRightInd w:val="0"/>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rPr>
        <w:t>本次招标要求投标人须具备：</w:t>
      </w:r>
    </w:p>
    <w:p w:rsidR="00BA4AB2" w:rsidRPr="00AB5E82" w:rsidRDefault="002E4E81">
      <w:pPr>
        <w:adjustRightInd w:val="0"/>
        <w:snapToGrid w:val="0"/>
        <w:spacing w:line="408" w:lineRule="auto"/>
        <w:ind w:firstLine="560"/>
        <w:rPr>
          <w:rFonts w:ascii="仿宋" w:eastAsia="仿宋" w:hAnsi="仿宋" w:cs="仿宋"/>
          <w:color w:val="000000"/>
          <w:sz w:val="28"/>
          <w:szCs w:val="28"/>
        </w:rPr>
      </w:pPr>
      <w:bookmarkStart w:id="2" w:name="_GoBack"/>
      <w:r w:rsidRPr="00AB5E82">
        <w:rPr>
          <w:rFonts w:ascii="仿宋" w:eastAsia="仿宋" w:hAnsi="仿宋" w:cs="仿宋" w:hint="eastAsia"/>
          <w:color w:val="000000"/>
          <w:sz w:val="28"/>
          <w:szCs w:val="28"/>
        </w:rPr>
        <w:t>（</w:t>
      </w:r>
      <w:bookmarkStart w:id="3" w:name="OLE_LINK1"/>
      <w:bookmarkStart w:id="4" w:name="OLE_LINK2"/>
      <w:r w:rsidRPr="00AB5E82">
        <w:rPr>
          <w:rFonts w:ascii="仿宋" w:eastAsia="仿宋" w:hAnsi="仿宋" w:cs="仿宋" w:hint="eastAsia"/>
          <w:color w:val="000000"/>
          <w:sz w:val="28"/>
          <w:szCs w:val="28"/>
        </w:rPr>
        <w:t>1</w:t>
      </w:r>
      <w:r w:rsidRPr="00AB5E82">
        <w:rPr>
          <w:rFonts w:ascii="仿宋" w:eastAsia="仿宋" w:hAnsi="仿宋" w:cs="仿宋" w:hint="eastAsia"/>
          <w:color w:val="000000"/>
          <w:sz w:val="28"/>
          <w:szCs w:val="28"/>
        </w:rPr>
        <w:t>）投标人须在中华人民共和国注册，具有独立企业法人资格，且营业执照在有效期内，具备</w:t>
      </w:r>
      <w:r w:rsidRPr="00AB5E82">
        <w:rPr>
          <w:rFonts w:ascii="仿宋" w:eastAsia="仿宋" w:hAnsi="仿宋" w:cs="仿宋" w:hint="eastAsia"/>
          <w:color w:val="000000"/>
          <w:sz w:val="28"/>
          <w:szCs w:val="28"/>
        </w:rPr>
        <w:t>水利相关咨询服务</w:t>
      </w:r>
      <w:r w:rsidRPr="00AB5E82">
        <w:rPr>
          <w:rFonts w:ascii="仿宋" w:eastAsia="仿宋" w:hAnsi="仿宋" w:cs="仿宋" w:hint="eastAsia"/>
          <w:color w:val="000000"/>
          <w:sz w:val="28"/>
          <w:szCs w:val="28"/>
        </w:rPr>
        <w:t>的经营范围。</w:t>
      </w:r>
    </w:p>
    <w:bookmarkEnd w:id="2"/>
    <w:bookmarkEnd w:id="3"/>
    <w:bookmarkEnd w:id="4"/>
    <w:p w:rsidR="00BA4AB2" w:rsidRDefault="002E4E81">
      <w:pPr>
        <w:adjustRightInd w:val="0"/>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lang w:val="zh-CN"/>
        </w:rPr>
        <w:t>（</w:t>
      </w:r>
      <w:r>
        <w:rPr>
          <w:rFonts w:ascii="仿宋" w:eastAsia="仿宋" w:hAnsi="仿宋" w:cs="仿宋" w:hint="eastAsia"/>
          <w:color w:val="000000"/>
          <w:sz w:val="28"/>
          <w:szCs w:val="28"/>
          <w:lang w:val="zh-CN"/>
        </w:rPr>
        <w:t>2</w:t>
      </w:r>
      <w:r>
        <w:rPr>
          <w:rFonts w:ascii="仿宋" w:eastAsia="仿宋" w:hAnsi="仿宋" w:cs="仿宋" w:hint="eastAsia"/>
          <w:color w:val="000000"/>
          <w:sz w:val="28"/>
          <w:szCs w:val="28"/>
          <w:lang w:val="zh-CN"/>
        </w:rPr>
        <w:t>）具有独立承担民事责任的能力，并在人员、设备</w:t>
      </w:r>
      <w:r>
        <w:rPr>
          <w:rFonts w:ascii="仿宋" w:eastAsia="仿宋" w:hAnsi="仿宋" w:cs="仿宋" w:hint="eastAsia"/>
          <w:color w:val="000000"/>
          <w:sz w:val="28"/>
          <w:szCs w:val="28"/>
        </w:rPr>
        <w:t>等方面</w:t>
      </w:r>
      <w:r>
        <w:rPr>
          <w:rFonts w:ascii="仿宋" w:eastAsia="仿宋" w:hAnsi="仿宋" w:cs="仿宋" w:hint="eastAsia"/>
          <w:color w:val="000000"/>
          <w:sz w:val="28"/>
          <w:szCs w:val="28"/>
          <w:lang w:val="zh-CN"/>
        </w:rPr>
        <w:t>具有相应的履行合同的能力</w:t>
      </w:r>
      <w:r>
        <w:rPr>
          <w:rFonts w:ascii="仿宋" w:eastAsia="仿宋" w:hAnsi="仿宋" w:cs="仿宋" w:hint="eastAsia"/>
          <w:color w:val="000000"/>
          <w:sz w:val="28"/>
          <w:szCs w:val="28"/>
        </w:rPr>
        <w:t>。</w:t>
      </w:r>
    </w:p>
    <w:p w:rsidR="00BA4AB2" w:rsidRDefault="002E4E81">
      <w:pPr>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lang w:val="zh-CN"/>
        </w:rPr>
        <w:t>（</w:t>
      </w:r>
      <w:r>
        <w:rPr>
          <w:rFonts w:ascii="仿宋" w:eastAsia="仿宋" w:hAnsi="仿宋" w:cs="仿宋" w:hint="eastAsia"/>
          <w:color w:val="000000"/>
          <w:sz w:val="28"/>
          <w:szCs w:val="28"/>
        </w:rPr>
        <w:t>3</w:t>
      </w:r>
      <w:r>
        <w:rPr>
          <w:rFonts w:ascii="仿宋" w:eastAsia="仿宋" w:hAnsi="仿宋" w:cs="仿宋" w:hint="eastAsia"/>
          <w:color w:val="000000"/>
          <w:sz w:val="28"/>
          <w:szCs w:val="28"/>
          <w:lang w:val="zh-CN"/>
        </w:rPr>
        <w:t>）</w:t>
      </w:r>
      <w:r>
        <w:rPr>
          <w:rFonts w:ascii="仿宋" w:eastAsia="仿宋" w:hAnsi="仿宋" w:cs="仿宋" w:hint="eastAsia"/>
          <w:color w:val="000000"/>
          <w:sz w:val="28"/>
          <w:szCs w:val="28"/>
        </w:rPr>
        <w:t>财务要求：投标人须提供上一年经会计师事务所或审计机构审计的财务审计报告（投标人的成立时间少于规定年份的，应提供成立以来的财务状况表或基本账户银行出具的资信证明文件）；</w:t>
      </w:r>
    </w:p>
    <w:p w:rsidR="00BA4AB2" w:rsidRDefault="002E4E81">
      <w:pPr>
        <w:snapToGrid w:val="0"/>
        <w:spacing w:line="408" w:lineRule="auto"/>
        <w:ind w:firstLine="560"/>
        <w:rPr>
          <w:rFonts w:ascii="仿宋" w:eastAsia="仿宋" w:hAnsi="仿宋" w:cs="仿宋"/>
          <w:color w:val="000000"/>
          <w:sz w:val="28"/>
          <w:szCs w:val="28"/>
          <w:lang w:val="zh-CN"/>
        </w:rPr>
      </w:pPr>
      <w:r>
        <w:rPr>
          <w:rFonts w:ascii="仿宋" w:eastAsia="仿宋" w:hAnsi="仿宋" w:cs="仿宋" w:hint="eastAsia"/>
          <w:color w:val="000000"/>
          <w:sz w:val="28"/>
          <w:szCs w:val="28"/>
          <w:lang w:val="zh-CN"/>
        </w:rPr>
        <w:t>（</w:t>
      </w:r>
      <w:r>
        <w:rPr>
          <w:rFonts w:ascii="仿宋" w:eastAsia="仿宋" w:hAnsi="仿宋" w:cs="仿宋" w:hint="eastAsia"/>
          <w:color w:val="000000"/>
          <w:sz w:val="28"/>
          <w:szCs w:val="28"/>
        </w:rPr>
        <w:t>4</w:t>
      </w:r>
      <w:r>
        <w:rPr>
          <w:rFonts w:ascii="仿宋" w:eastAsia="仿宋" w:hAnsi="仿宋" w:cs="仿宋" w:hint="eastAsia"/>
          <w:color w:val="000000"/>
          <w:sz w:val="28"/>
          <w:szCs w:val="28"/>
          <w:lang w:val="zh-CN"/>
        </w:rPr>
        <w:t>）</w:t>
      </w:r>
      <w:r>
        <w:rPr>
          <w:rFonts w:ascii="仿宋" w:eastAsia="仿宋" w:hAnsi="仿宋" w:cs="仿宋" w:hint="eastAsia"/>
          <w:color w:val="000000"/>
          <w:sz w:val="28"/>
          <w:szCs w:val="28"/>
        </w:rPr>
        <w:t>投标人</w:t>
      </w:r>
      <w:r>
        <w:rPr>
          <w:rFonts w:ascii="仿宋" w:eastAsia="仿宋" w:hAnsi="仿宋" w:cs="仿宋" w:hint="eastAsia"/>
          <w:color w:val="000000"/>
          <w:sz w:val="28"/>
          <w:szCs w:val="28"/>
          <w:lang w:val="zh-CN"/>
        </w:rPr>
        <w:t>未被列入“信用中国”行政处罚</w:t>
      </w:r>
      <w:r>
        <w:rPr>
          <w:rFonts w:ascii="仿宋" w:eastAsia="仿宋" w:hAnsi="仿宋" w:cs="仿宋" w:hint="eastAsia"/>
          <w:color w:val="000000"/>
          <w:sz w:val="28"/>
          <w:szCs w:val="28"/>
          <w:lang w:val="zh-CN"/>
        </w:rPr>
        <w:t>;</w:t>
      </w:r>
      <w:r>
        <w:rPr>
          <w:rFonts w:ascii="仿宋" w:eastAsia="仿宋" w:hAnsi="仿宋" w:cs="仿宋" w:hint="eastAsia"/>
          <w:color w:val="000000"/>
          <w:sz w:val="28"/>
          <w:szCs w:val="28"/>
          <w:lang w:val="zh-CN"/>
        </w:rPr>
        <w:t>供应商未被列入信用中国（</w:t>
      </w:r>
      <w:r>
        <w:rPr>
          <w:rFonts w:ascii="仿宋" w:eastAsia="仿宋" w:hAnsi="仿宋" w:cs="仿宋" w:hint="eastAsia"/>
          <w:color w:val="000000"/>
          <w:sz w:val="28"/>
          <w:szCs w:val="28"/>
          <w:lang w:val="zh-CN"/>
        </w:rPr>
        <w:t>http://www.creditchina.gov.cn/)</w:t>
      </w:r>
      <w:r>
        <w:rPr>
          <w:rFonts w:ascii="仿宋" w:eastAsia="仿宋" w:hAnsi="仿宋" w:cs="仿宋" w:hint="eastAsia"/>
          <w:color w:val="000000"/>
          <w:sz w:val="28"/>
          <w:szCs w:val="28"/>
          <w:lang w:val="zh-CN"/>
        </w:rPr>
        <w:t>失信被执行人名单（附信用中国查询记录截屏）。</w:t>
      </w:r>
    </w:p>
    <w:p w:rsidR="00BA4AB2" w:rsidRDefault="002E4E81">
      <w:pPr>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lang w:val="zh-CN"/>
        </w:rPr>
        <w:lastRenderedPageBreak/>
        <w:t>（</w:t>
      </w:r>
      <w:r>
        <w:rPr>
          <w:rFonts w:ascii="仿宋" w:eastAsia="仿宋" w:hAnsi="仿宋" w:cs="仿宋" w:hint="eastAsia"/>
          <w:color w:val="000000"/>
          <w:sz w:val="28"/>
          <w:szCs w:val="28"/>
          <w:lang w:val="zh-CN"/>
        </w:rPr>
        <w:t>5</w:t>
      </w:r>
      <w:r>
        <w:rPr>
          <w:rFonts w:ascii="仿宋" w:eastAsia="仿宋" w:hAnsi="仿宋" w:cs="仿宋" w:hint="eastAsia"/>
          <w:color w:val="000000"/>
          <w:sz w:val="28"/>
          <w:szCs w:val="28"/>
          <w:lang w:val="zh-CN"/>
        </w:rPr>
        <w:t>）业绩要求：近</w:t>
      </w:r>
      <w:r>
        <w:rPr>
          <w:rFonts w:ascii="仿宋" w:eastAsia="仿宋" w:hAnsi="仿宋" w:cs="仿宋" w:hint="eastAsia"/>
          <w:color w:val="000000"/>
          <w:sz w:val="28"/>
          <w:szCs w:val="28"/>
          <w:lang w:val="zh-CN"/>
        </w:rPr>
        <w:t>3</w:t>
      </w:r>
      <w:r>
        <w:rPr>
          <w:rFonts w:ascii="仿宋" w:eastAsia="仿宋" w:hAnsi="仿宋" w:cs="仿宋" w:hint="eastAsia"/>
          <w:color w:val="000000"/>
          <w:sz w:val="28"/>
          <w:szCs w:val="28"/>
          <w:lang w:val="zh-CN"/>
        </w:rPr>
        <w:t>年（从</w:t>
      </w:r>
      <w:r>
        <w:rPr>
          <w:rFonts w:ascii="仿宋" w:eastAsia="仿宋" w:hAnsi="仿宋" w:cs="仿宋" w:hint="eastAsia"/>
          <w:color w:val="000000"/>
          <w:sz w:val="28"/>
          <w:szCs w:val="28"/>
          <w:lang w:val="zh-CN"/>
        </w:rPr>
        <w:t>2022</w:t>
      </w:r>
      <w:r>
        <w:rPr>
          <w:rFonts w:ascii="仿宋" w:eastAsia="仿宋" w:hAnsi="仿宋" w:cs="仿宋" w:hint="eastAsia"/>
          <w:color w:val="000000"/>
          <w:sz w:val="28"/>
          <w:szCs w:val="28"/>
          <w:lang w:val="zh-CN"/>
        </w:rPr>
        <w:t>年开始至今）类似项目业绩不少于</w:t>
      </w:r>
      <w:r>
        <w:rPr>
          <w:rFonts w:ascii="仿宋" w:eastAsia="仿宋" w:hAnsi="仿宋" w:cs="仿宋" w:hint="eastAsia"/>
          <w:color w:val="000000"/>
          <w:sz w:val="28"/>
          <w:szCs w:val="28"/>
          <w:lang w:val="zh-CN"/>
        </w:rPr>
        <w:t>3</w:t>
      </w:r>
      <w:r>
        <w:rPr>
          <w:rFonts w:ascii="仿宋" w:eastAsia="仿宋" w:hAnsi="仿宋" w:cs="仿宋" w:hint="eastAsia"/>
          <w:color w:val="000000"/>
          <w:sz w:val="28"/>
          <w:szCs w:val="28"/>
          <w:lang w:val="zh-CN"/>
        </w:rPr>
        <w:t>个。</w:t>
      </w:r>
    </w:p>
    <w:p w:rsidR="00BA4AB2" w:rsidRDefault="002E4E81">
      <w:pPr>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6</w:t>
      </w:r>
      <w:r>
        <w:rPr>
          <w:rFonts w:ascii="仿宋" w:eastAsia="仿宋" w:hAnsi="仿宋" w:cs="仿宋" w:hint="eastAsia"/>
          <w:color w:val="000000"/>
          <w:sz w:val="28"/>
          <w:szCs w:val="28"/>
        </w:rPr>
        <w:t>）其他要求：单位负责人为同一人或者存在控股、管理关系的不同单位，不得同时参加本次投标。</w:t>
      </w:r>
    </w:p>
    <w:p w:rsidR="00BA4AB2" w:rsidRDefault="002E4E81">
      <w:pPr>
        <w:snapToGrid w:val="0"/>
        <w:spacing w:line="408" w:lineRule="auto"/>
        <w:ind w:firstLine="560"/>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7</w:t>
      </w:r>
      <w:r>
        <w:rPr>
          <w:rFonts w:ascii="仿宋" w:eastAsia="仿宋" w:hAnsi="仿宋" w:cs="仿宋" w:hint="eastAsia"/>
          <w:color w:val="000000"/>
          <w:sz w:val="28"/>
          <w:szCs w:val="28"/>
        </w:rPr>
        <w:t>）本次招标不接受联合体投标。</w:t>
      </w:r>
    </w:p>
    <w:p w:rsidR="00BA4AB2" w:rsidRDefault="002E4E81">
      <w:pPr>
        <w:widowControl w:val="0"/>
        <w:adjustRightInd w:val="0"/>
        <w:snapToGrid w:val="0"/>
        <w:spacing w:line="408" w:lineRule="auto"/>
        <w:ind w:firstLine="560"/>
        <w:jc w:val="both"/>
        <w:rPr>
          <w:rFonts w:ascii="黑体" w:eastAsia="黑体" w:hAnsi="黑体" w:cs="黑体"/>
          <w:bCs/>
          <w:kern w:val="2"/>
          <w:sz w:val="28"/>
          <w:szCs w:val="28"/>
        </w:rPr>
      </w:pPr>
      <w:r>
        <w:rPr>
          <w:rFonts w:ascii="黑体" w:eastAsia="黑体" w:hAnsi="黑体" w:cs="黑体" w:hint="eastAsia"/>
          <w:bCs/>
          <w:kern w:val="2"/>
          <w:sz w:val="28"/>
          <w:szCs w:val="28"/>
        </w:rPr>
        <w:t>四、最高投标限价：</w:t>
      </w:r>
      <w:r>
        <w:rPr>
          <w:rFonts w:ascii="黑体" w:eastAsia="黑体" w:hAnsi="黑体" w:cs="黑体" w:hint="eastAsia"/>
          <w:bCs/>
          <w:kern w:val="2"/>
          <w:sz w:val="28"/>
          <w:szCs w:val="28"/>
        </w:rPr>
        <w:t>9</w:t>
      </w:r>
      <w:r>
        <w:rPr>
          <w:rFonts w:ascii="黑体" w:eastAsia="黑体" w:hAnsi="黑体" w:cs="黑体" w:hint="eastAsia"/>
          <w:bCs/>
          <w:kern w:val="2"/>
          <w:sz w:val="28"/>
          <w:szCs w:val="28"/>
        </w:rPr>
        <w:t>万元，含</w:t>
      </w:r>
      <w:r>
        <w:rPr>
          <w:rFonts w:ascii="黑体" w:eastAsia="黑体" w:hAnsi="黑体" w:cs="黑体" w:hint="eastAsia"/>
          <w:bCs/>
          <w:kern w:val="2"/>
          <w:sz w:val="28"/>
          <w:szCs w:val="28"/>
        </w:rPr>
        <w:t>3%</w:t>
      </w:r>
      <w:r>
        <w:rPr>
          <w:rFonts w:ascii="黑体" w:eastAsia="黑体" w:hAnsi="黑体" w:cs="黑体" w:hint="eastAsia"/>
          <w:bCs/>
          <w:kern w:val="2"/>
          <w:sz w:val="28"/>
          <w:szCs w:val="28"/>
        </w:rPr>
        <w:t>增值税</w:t>
      </w:r>
    </w:p>
    <w:p w:rsidR="00BA4AB2" w:rsidRDefault="002E4E81">
      <w:pPr>
        <w:widowControl w:val="0"/>
        <w:adjustRightInd w:val="0"/>
        <w:snapToGrid w:val="0"/>
        <w:spacing w:line="408" w:lineRule="auto"/>
        <w:ind w:firstLine="560"/>
        <w:jc w:val="both"/>
        <w:rPr>
          <w:rFonts w:ascii="黑体" w:eastAsia="黑体" w:hAnsi="黑体" w:cs="黑体"/>
          <w:bCs/>
          <w:color w:val="000000"/>
          <w:kern w:val="2"/>
          <w:sz w:val="28"/>
          <w:szCs w:val="28"/>
        </w:rPr>
      </w:pPr>
      <w:r>
        <w:rPr>
          <w:rFonts w:ascii="黑体" w:eastAsia="黑体" w:hAnsi="黑体" w:cs="黑体" w:hint="eastAsia"/>
          <w:bCs/>
          <w:color w:val="000000"/>
          <w:kern w:val="2"/>
          <w:sz w:val="28"/>
          <w:szCs w:val="28"/>
        </w:rPr>
        <w:t>五、报价方式</w:t>
      </w:r>
    </w:p>
    <w:p w:rsidR="00BA4AB2" w:rsidRDefault="002E4E81">
      <w:pPr>
        <w:adjustRightInd w:val="0"/>
        <w:snapToGrid w:val="0"/>
        <w:spacing w:line="408" w:lineRule="auto"/>
        <w:ind w:firstLine="560"/>
        <w:rPr>
          <w:rFonts w:ascii="仿宋" w:eastAsia="仿宋" w:hAnsi="仿宋" w:cs="仿宋"/>
          <w:color w:val="000000"/>
          <w:sz w:val="28"/>
          <w:szCs w:val="28"/>
          <w:lang w:val="zh-CN"/>
        </w:rPr>
      </w:pPr>
      <w:r>
        <w:rPr>
          <w:rFonts w:ascii="仿宋" w:eastAsia="仿宋" w:hAnsi="仿宋" w:cs="仿宋" w:hint="eastAsia"/>
          <w:color w:val="000000"/>
          <w:sz w:val="28"/>
          <w:szCs w:val="28"/>
          <w:lang w:val="zh-CN"/>
        </w:rPr>
        <w:t>按招标文件要求及国家现行规定，考虑各种风险，自主报价。</w:t>
      </w:r>
    </w:p>
    <w:p w:rsidR="00BA4AB2" w:rsidRDefault="002E4E81">
      <w:pPr>
        <w:adjustRightInd w:val="0"/>
        <w:snapToGrid w:val="0"/>
        <w:spacing w:line="408" w:lineRule="auto"/>
        <w:ind w:firstLine="560"/>
        <w:rPr>
          <w:rFonts w:ascii="仿宋" w:eastAsia="仿宋" w:hAnsi="仿宋" w:cs="仿宋"/>
          <w:color w:val="000000"/>
          <w:sz w:val="28"/>
          <w:szCs w:val="28"/>
          <w:lang w:val="zh-CN"/>
        </w:rPr>
      </w:pPr>
      <w:r>
        <w:rPr>
          <w:rFonts w:ascii="仿宋" w:eastAsia="仿宋" w:hAnsi="仿宋" w:cs="仿宋" w:hint="eastAsia"/>
          <w:color w:val="000000"/>
          <w:sz w:val="28"/>
          <w:szCs w:val="28"/>
          <w:lang w:val="zh-CN"/>
        </w:rPr>
        <w:t>报价包含完成本项目招标范围内所有费用，包含税费、服务费用、加班加点、交通费、</w:t>
      </w:r>
      <w:r>
        <w:rPr>
          <w:rFonts w:ascii="仿宋" w:eastAsia="仿宋" w:hAnsi="仿宋" w:cs="仿宋" w:hint="eastAsia"/>
          <w:color w:val="000000"/>
          <w:sz w:val="28"/>
          <w:szCs w:val="28"/>
        </w:rPr>
        <w:t>资料收集、报告编制</w:t>
      </w:r>
      <w:r>
        <w:rPr>
          <w:rFonts w:ascii="仿宋" w:eastAsia="仿宋" w:hAnsi="仿宋" w:cs="仿宋" w:hint="eastAsia"/>
          <w:color w:val="000000"/>
          <w:sz w:val="28"/>
          <w:szCs w:val="28"/>
          <w:lang w:val="zh-CN"/>
        </w:rPr>
        <w:t>等工作所发生的相关所有费用。</w:t>
      </w:r>
    </w:p>
    <w:p w:rsidR="00BA4AB2" w:rsidRDefault="002E4E81">
      <w:pPr>
        <w:widowControl w:val="0"/>
        <w:adjustRightInd w:val="0"/>
        <w:snapToGrid w:val="0"/>
        <w:spacing w:line="408" w:lineRule="auto"/>
        <w:ind w:firstLine="560"/>
        <w:jc w:val="both"/>
        <w:rPr>
          <w:rFonts w:ascii="黑体" w:eastAsia="黑体" w:hAnsi="黑体" w:cs="黑体"/>
          <w:bCs/>
          <w:color w:val="000000"/>
          <w:kern w:val="2"/>
          <w:sz w:val="28"/>
          <w:szCs w:val="28"/>
        </w:rPr>
      </w:pPr>
      <w:r>
        <w:rPr>
          <w:rFonts w:ascii="黑体" w:eastAsia="黑体" w:hAnsi="黑体" w:cs="黑体" w:hint="eastAsia"/>
          <w:bCs/>
          <w:color w:val="000000"/>
          <w:kern w:val="2"/>
          <w:sz w:val="28"/>
          <w:szCs w:val="28"/>
        </w:rPr>
        <w:t>六、付款方式</w:t>
      </w:r>
    </w:p>
    <w:p w:rsidR="00BA4AB2" w:rsidRDefault="002E4E81">
      <w:pPr>
        <w:widowControl w:val="0"/>
        <w:adjustRightInd w:val="0"/>
        <w:snapToGrid w:val="0"/>
        <w:spacing w:line="408" w:lineRule="auto"/>
        <w:ind w:firstLine="560"/>
        <w:jc w:val="both"/>
        <w:rPr>
          <w:rFonts w:ascii="仿宋" w:eastAsia="仿宋" w:hAnsi="仿宋" w:cs="仿宋"/>
          <w:color w:val="000000"/>
          <w:sz w:val="28"/>
          <w:szCs w:val="28"/>
        </w:rPr>
      </w:pPr>
      <w:r>
        <w:rPr>
          <w:rFonts w:ascii="仿宋" w:eastAsia="仿宋" w:hAnsi="仿宋" w:cs="仿宋" w:hint="eastAsia"/>
          <w:color w:val="000000"/>
          <w:sz w:val="28"/>
          <w:szCs w:val="28"/>
        </w:rPr>
        <w:t>本项目不设预付款，通过审批部门审批后付款。</w:t>
      </w:r>
    </w:p>
    <w:p w:rsidR="00BA4AB2" w:rsidRDefault="002E4E81">
      <w:pPr>
        <w:widowControl w:val="0"/>
        <w:adjustRightInd w:val="0"/>
        <w:snapToGrid w:val="0"/>
        <w:spacing w:line="408" w:lineRule="auto"/>
        <w:ind w:firstLine="560"/>
        <w:jc w:val="both"/>
        <w:rPr>
          <w:rFonts w:ascii="黑体" w:eastAsia="黑体" w:hAnsi="黑体" w:cs="黑体"/>
          <w:bCs/>
          <w:color w:val="000000"/>
          <w:kern w:val="2"/>
          <w:sz w:val="28"/>
          <w:szCs w:val="28"/>
        </w:rPr>
      </w:pPr>
      <w:r>
        <w:rPr>
          <w:rFonts w:ascii="黑体" w:eastAsia="黑体" w:hAnsi="黑体" w:cs="黑体" w:hint="eastAsia"/>
          <w:bCs/>
          <w:color w:val="000000"/>
          <w:kern w:val="2"/>
          <w:sz w:val="28"/>
          <w:szCs w:val="28"/>
        </w:rPr>
        <w:t>七、其他内容</w:t>
      </w:r>
    </w:p>
    <w:p w:rsidR="00BA4AB2" w:rsidRDefault="002E4E81">
      <w:pPr>
        <w:widowControl w:val="0"/>
        <w:adjustRightInd w:val="0"/>
        <w:snapToGrid w:val="0"/>
        <w:spacing w:line="408" w:lineRule="auto"/>
        <w:ind w:firstLine="560"/>
        <w:jc w:val="both"/>
        <w:rPr>
          <w:rFonts w:ascii="仿宋" w:eastAsia="仿宋" w:hAnsi="仿宋" w:cs="仿宋"/>
          <w:color w:val="000000"/>
          <w:sz w:val="28"/>
          <w:szCs w:val="28"/>
        </w:rPr>
      </w:pPr>
      <w:r>
        <w:rPr>
          <w:rFonts w:ascii="仿宋" w:eastAsia="仿宋" w:hAnsi="仿宋" w:cs="仿宋" w:hint="eastAsia"/>
          <w:color w:val="000000"/>
          <w:sz w:val="28"/>
          <w:szCs w:val="28"/>
        </w:rPr>
        <w:t>投标人应在约定的期限内完成本项目的所有工作。</w:t>
      </w:r>
    </w:p>
    <w:p w:rsidR="00BA4AB2" w:rsidRDefault="002E4E81">
      <w:pPr>
        <w:widowControl w:val="0"/>
        <w:adjustRightInd w:val="0"/>
        <w:snapToGrid w:val="0"/>
        <w:spacing w:line="408" w:lineRule="auto"/>
        <w:ind w:firstLine="560"/>
        <w:jc w:val="both"/>
        <w:rPr>
          <w:rFonts w:ascii="仿宋" w:eastAsia="仿宋" w:hAnsi="仿宋" w:cs="仿宋"/>
          <w:color w:val="000000"/>
          <w:sz w:val="28"/>
          <w:szCs w:val="28"/>
        </w:rPr>
      </w:pPr>
      <w:r>
        <w:rPr>
          <w:rFonts w:ascii="仿宋" w:eastAsia="仿宋" w:hAnsi="仿宋" w:cs="仿宋" w:hint="eastAsia"/>
          <w:color w:val="000000"/>
          <w:sz w:val="28"/>
          <w:szCs w:val="28"/>
        </w:rPr>
        <w:t>如因投标人自身原因延误合同规定的时间，每逾期完成一天，应承担合同金额千分之一的逾期违约金。</w:t>
      </w:r>
    </w:p>
    <w:p w:rsidR="00BA4AB2" w:rsidRDefault="00BA4AB2">
      <w:pPr>
        <w:widowControl w:val="0"/>
        <w:adjustRightInd w:val="0"/>
        <w:snapToGrid w:val="0"/>
        <w:spacing w:line="408" w:lineRule="auto"/>
        <w:ind w:firstLine="560"/>
        <w:jc w:val="both"/>
        <w:rPr>
          <w:rFonts w:ascii="仿宋" w:eastAsia="仿宋" w:hAnsi="仿宋" w:cs="仿宋"/>
          <w:color w:val="000000"/>
          <w:sz w:val="28"/>
          <w:szCs w:val="28"/>
        </w:rPr>
      </w:pPr>
    </w:p>
    <w:p w:rsidR="00BA4AB2" w:rsidRDefault="00BA4AB2" w:rsidP="00BA4AB2">
      <w:pPr>
        <w:ind w:firstLine="420"/>
      </w:pPr>
    </w:p>
    <w:sectPr w:rsidR="00BA4AB2" w:rsidSect="00BA4AB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E81" w:rsidRDefault="002E4E81">
      <w:pPr>
        <w:spacing w:line="240" w:lineRule="auto"/>
        <w:ind w:firstLine="420"/>
      </w:pPr>
      <w:r>
        <w:separator/>
      </w:r>
    </w:p>
  </w:endnote>
  <w:endnote w:type="continuationSeparator" w:id="0">
    <w:p w:rsidR="002E4E81" w:rsidRDefault="002E4E81">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公文小标宋">
    <w:altName w:val="宋体"/>
    <w:charset w:val="86"/>
    <w:family w:val="auto"/>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E81" w:rsidRDefault="002E4E81">
      <w:pPr>
        <w:spacing w:line="240" w:lineRule="auto"/>
        <w:ind w:firstLine="420"/>
      </w:pPr>
      <w:r>
        <w:separator/>
      </w:r>
    </w:p>
  </w:footnote>
  <w:footnote w:type="continuationSeparator" w:id="0">
    <w:p w:rsidR="002E4E81" w:rsidRDefault="002E4E81">
      <w:pPr>
        <w:spacing w:line="240" w:lineRule="auto"/>
        <w:ind w:firstLine="42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FFFFF89"/>
    <w:lvl w:ilvl="0">
      <w:start w:val="1"/>
      <w:numFmt w:val="bullet"/>
      <w:pStyle w:val="2"/>
      <w:lvlText w:val=""/>
      <w:lvlJc w:val="left"/>
      <w:pPr>
        <w:tabs>
          <w:tab w:val="left" w:pos="360"/>
        </w:tabs>
        <w:ind w:left="3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66DC653F"/>
    <w:rsid w:val="002E4E81"/>
    <w:rsid w:val="00AB5E82"/>
    <w:rsid w:val="00BA4AB2"/>
    <w:rsid w:val="00C62620"/>
    <w:rsid w:val="055516C4"/>
    <w:rsid w:val="074A53D1"/>
    <w:rsid w:val="0BB95CA8"/>
    <w:rsid w:val="0F755951"/>
    <w:rsid w:val="141F1C45"/>
    <w:rsid w:val="1616286E"/>
    <w:rsid w:val="1E214C7C"/>
    <w:rsid w:val="249B07A9"/>
    <w:rsid w:val="265C3C28"/>
    <w:rsid w:val="28344A7B"/>
    <w:rsid w:val="3E027A62"/>
    <w:rsid w:val="3E4F0ECF"/>
    <w:rsid w:val="42933540"/>
    <w:rsid w:val="4377323B"/>
    <w:rsid w:val="4D4A0EC5"/>
    <w:rsid w:val="4F5842CC"/>
    <w:rsid w:val="50E00F79"/>
    <w:rsid w:val="5F506981"/>
    <w:rsid w:val="5F857143"/>
    <w:rsid w:val="62CE4EAC"/>
    <w:rsid w:val="63100901"/>
    <w:rsid w:val="666B40A1"/>
    <w:rsid w:val="66DC653F"/>
    <w:rsid w:val="67D76AF3"/>
    <w:rsid w:val="7AD903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A4AB2"/>
    <w:pPr>
      <w:spacing w:line="400" w:lineRule="exact"/>
      <w:ind w:firstLineChars="200" w:firstLine="400"/>
    </w:pPr>
    <w:rPr>
      <w:rFonts w:cs="Arial"/>
      <w:sz w:val="21"/>
    </w:rPr>
  </w:style>
  <w:style w:type="paragraph" w:styleId="1">
    <w:name w:val="heading 1"/>
    <w:basedOn w:val="a"/>
    <w:next w:val="a"/>
    <w:qFormat/>
    <w:rsid w:val="00BA4AB2"/>
    <w:pPr>
      <w:spacing w:beforeAutospacing="1" w:afterAutospacing="1"/>
      <w:outlineLvl w:val="0"/>
    </w:pPr>
    <w:rPr>
      <w:rFonts w:ascii="宋体" w:hAnsi="宋体" w:cs="Times New Roman" w:hint="eastAsia"/>
      <w:b/>
      <w:bCs/>
      <w:kern w:val="44"/>
      <w:sz w:val="48"/>
      <w:szCs w:val="48"/>
    </w:rPr>
  </w:style>
  <w:style w:type="paragraph" w:styleId="2">
    <w:name w:val="heading 2"/>
    <w:basedOn w:val="a"/>
    <w:next w:val="a"/>
    <w:uiPriority w:val="99"/>
    <w:qFormat/>
    <w:rsid w:val="00BA4AB2"/>
    <w:pPr>
      <w:keepNext/>
      <w:keepLines/>
      <w:numPr>
        <w:numId w:val="1"/>
      </w:numPr>
      <w:tabs>
        <w:tab w:val="left" w:pos="0"/>
        <w:tab w:val="left" w:pos="210"/>
        <w:tab w:val="left" w:pos="568"/>
      </w:tabs>
      <w:adjustRightInd w:val="0"/>
      <w:spacing w:beforeLines="100" w:line="360" w:lineRule="auto"/>
      <w:ind w:firstLineChars="0" w:firstLine="0"/>
      <w:outlineLvl w:val="1"/>
    </w:pPr>
    <w:rPr>
      <w:rFonts w:ascii="Arial" w:hAnsi="Arial"/>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rsid w:val="00BA4AB2"/>
    <w:pPr>
      <w:tabs>
        <w:tab w:val="center" w:pos="4153"/>
        <w:tab w:val="right" w:pos="8306"/>
      </w:tabs>
      <w:snapToGrid w:val="0"/>
      <w:spacing w:line="240" w:lineRule="atLeast"/>
    </w:pPr>
    <w:rPr>
      <w:sz w:val="18"/>
      <w:szCs w:val="18"/>
    </w:rPr>
  </w:style>
  <w:style w:type="paragraph" w:styleId="a4">
    <w:name w:val="header"/>
    <w:basedOn w:val="a"/>
    <w:uiPriority w:val="99"/>
    <w:unhideWhenUsed/>
    <w:qFormat/>
    <w:rsid w:val="00BA4AB2"/>
    <w:pPr>
      <w:pBdr>
        <w:bottom w:val="single" w:sz="6" w:space="1" w:color="auto"/>
      </w:pBdr>
      <w:tabs>
        <w:tab w:val="center" w:pos="4153"/>
        <w:tab w:val="right" w:pos="8306"/>
      </w:tabs>
      <w:snapToGrid w:val="0"/>
      <w:spacing w:line="240" w:lineRule="atLeast"/>
      <w:jc w:val="center"/>
    </w:pPr>
    <w:rPr>
      <w:sz w:val="18"/>
      <w:szCs w:val="18"/>
    </w:rPr>
  </w:style>
  <w:style w:type="table" w:styleId="a5">
    <w:name w:val="Table Grid"/>
    <w:basedOn w:val="a1"/>
    <w:qFormat/>
    <w:rsid w:val="00BA4AB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2025-09-04T06:09:00Z</dcterms:created>
  <dcterms:modified xsi:type="dcterms:W3CDTF">2025-09-19T03:37:00Z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50F097C9F56444FC821C536ED23C6891_13</vt:lpwstr>
  </property>
  <property fmtid="{D5CDD505-2E9C-101B-9397-08002B2CF9AE}" pid="4" name="KSOTemplateDocerSaveRecord">
    <vt:lpwstr>eyJoZGlkIjoiNTE0MWQ4ZTU5MjU1YjUzYmM5MjUyODVhNWEzMWE5ODEiLCJ1c2VySWQiOiIzNzIwMTk4NTcifQ==</vt:lpwstr>
  </property>
</Properties>
</file>